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F9" w:rsidRDefault="00090EF9" w:rsidP="000322D5">
      <w:pPr>
        <w:rPr>
          <w:noProof/>
          <w:lang w:val="en-US"/>
        </w:rPr>
      </w:pPr>
    </w:p>
    <w:p w:rsidR="000322D5" w:rsidRDefault="000322D5" w:rsidP="000322D5">
      <w:pPr>
        <w:rPr>
          <w:noProof/>
          <w:lang w:val="en-US"/>
        </w:rPr>
      </w:pPr>
    </w:p>
    <w:p w:rsidR="000322D5" w:rsidRDefault="000322D5" w:rsidP="000322D5">
      <w:pPr>
        <w:rPr>
          <w:noProof/>
          <w:lang w:val="en-US"/>
        </w:rPr>
      </w:pPr>
    </w:p>
    <w:p w:rsidR="000322D5" w:rsidRDefault="000322D5" w:rsidP="000322D5">
      <w:pPr>
        <w:rPr>
          <w:noProof/>
          <w:lang w:val="en-US"/>
        </w:rPr>
      </w:pPr>
    </w:p>
    <w:p w:rsidR="000322D5" w:rsidRPr="005D4C7A" w:rsidRDefault="000322D5" w:rsidP="000322D5">
      <w:pPr>
        <w:jc w:val="center"/>
      </w:pPr>
      <w:bookmarkStart w:id="0" w:name="_GoBack"/>
      <w:bookmarkStart w:id="1" w:name="OLE_LINK3"/>
      <w:bookmarkEnd w:id="0"/>
      <w:r w:rsidRPr="005D4C7A">
        <w:rPr>
          <w:noProof/>
          <w:color w:val="003366"/>
          <w:lang w:val="en-US"/>
        </w:rPr>
        <w:drawing>
          <wp:inline distT="0" distB="0" distL="0" distR="0">
            <wp:extent cx="914400" cy="990600"/>
            <wp:effectExtent l="0" t="0" r="0" b="0"/>
            <wp:docPr id="2"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6" cstate="print"/>
                    <a:srcRect/>
                    <a:stretch>
                      <a:fillRect/>
                    </a:stretch>
                  </pic:blipFill>
                  <pic:spPr bwMode="auto">
                    <a:xfrm>
                      <a:off x="0" y="0"/>
                      <a:ext cx="914400" cy="990600"/>
                    </a:xfrm>
                    <a:prstGeom prst="rect">
                      <a:avLst/>
                    </a:prstGeom>
                    <a:noFill/>
                    <a:ln w="9525">
                      <a:noFill/>
                      <a:miter lim="800000"/>
                      <a:headEnd/>
                      <a:tailEnd/>
                    </a:ln>
                  </pic:spPr>
                </pic:pic>
              </a:graphicData>
            </a:graphic>
          </wp:inline>
        </w:drawing>
      </w:r>
    </w:p>
    <w:p w:rsidR="000322D5" w:rsidRPr="005D4C7A" w:rsidRDefault="000322D5" w:rsidP="000322D5">
      <w:pPr>
        <w:jc w:val="center"/>
        <w:rPr>
          <w:rFonts w:eastAsia="Batang"/>
          <w:b/>
          <w:bCs/>
        </w:rPr>
      </w:pPr>
      <w:r w:rsidRPr="005D4C7A">
        <w:rPr>
          <w:b/>
          <w:bCs/>
        </w:rPr>
        <w:t>Republika e Kosovës</w:t>
      </w:r>
    </w:p>
    <w:p w:rsidR="000322D5" w:rsidRPr="005D4C7A" w:rsidRDefault="000322D5" w:rsidP="000322D5">
      <w:pPr>
        <w:jc w:val="center"/>
        <w:rPr>
          <w:b/>
          <w:bCs/>
        </w:rPr>
      </w:pPr>
      <w:r w:rsidRPr="005D4C7A">
        <w:rPr>
          <w:rFonts w:eastAsia="Batang"/>
          <w:b/>
          <w:bCs/>
        </w:rPr>
        <w:t xml:space="preserve">Republika Kosova - </w:t>
      </w:r>
      <w:proofErr w:type="spellStart"/>
      <w:r w:rsidRPr="005D4C7A">
        <w:rPr>
          <w:b/>
          <w:bCs/>
        </w:rPr>
        <w:t>Republic</w:t>
      </w:r>
      <w:proofErr w:type="spellEnd"/>
      <w:r w:rsidRPr="005D4C7A">
        <w:rPr>
          <w:b/>
          <w:bCs/>
        </w:rPr>
        <w:t xml:space="preserve"> </w:t>
      </w:r>
      <w:proofErr w:type="spellStart"/>
      <w:r w:rsidRPr="005D4C7A">
        <w:rPr>
          <w:b/>
          <w:bCs/>
        </w:rPr>
        <w:t>of</w:t>
      </w:r>
      <w:proofErr w:type="spellEnd"/>
      <w:r w:rsidRPr="005D4C7A">
        <w:rPr>
          <w:b/>
          <w:bCs/>
        </w:rPr>
        <w:t xml:space="preserve"> </w:t>
      </w:r>
      <w:proofErr w:type="spellStart"/>
      <w:r w:rsidRPr="005D4C7A">
        <w:rPr>
          <w:b/>
          <w:bCs/>
        </w:rPr>
        <w:t>Kosovo</w:t>
      </w:r>
      <w:proofErr w:type="spellEnd"/>
    </w:p>
    <w:p w:rsidR="000322D5" w:rsidRPr="005D4C7A" w:rsidRDefault="000322D5" w:rsidP="000322D5">
      <w:pPr>
        <w:jc w:val="center"/>
        <w:rPr>
          <w:b/>
          <w:bCs/>
          <w:i/>
          <w:iCs/>
        </w:rPr>
      </w:pPr>
      <w:r w:rsidRPr="005D4C7A">
        <w:rPr>
          <w:b/>
          <w:bCs/>
          <w:i/>
          <w:iCs/>
        </w:rPr>
        <w:t xml:space="preserve">Qeveria - </w:t>
      </w:r>
      <w:proofErr w:type="spellStart"/>
      <w:r w:rsidRPr="005D4C7A">
        <w:rPr>
          <w:b/>
          <w:bCs/>
          <w:i/>
          <w:iCs/>
        </w:rPr>
        <w:t>Vlada</w:t>
      </w:r>
      <w:proofErr w:type="spellEnd"/>
      <w:r w:rsidRPr="005D4C7A">
        <w:rPr>
          <w:b/>
          <w:bCs/>
          <w:i/>
          <w:iCs/>
        </w:rPr>
        <w:t xml:space="preserve"> - </w:t>
      </w:r>
      <w:proofErr w:type="spellStart"/>
      <w:r w:rsidRPr="005D4C7A">
        <w:rPr>
          <w:b/>
          <w:bCs/>
          <w:i/>
          <w:iCs/>
        </w:rPr>
        <w:t>Government</w:t>
      </w:r>
      <w:proofErr w:type="spellEnd"/>
      <w:r w:rsidRPr="005D4C7A">
        <w:rPr>
          <w:b/>
          <w:bCs/>
          <w:i/>
          <w:iCs/>
        </w:rPr>
        <w:t xml:space="preserve"> </w:t>
      </w:r>
      <w:bookmarkEnd w:id="1"/>
    </w:p>
    <w:p w:rsidR="000322D5" w:rsidRPr="005D4C7A" w:rsidRDefault="000322D5" w:rsidP="000322D5">
      <w:pPr>
        <w:tabs>
          <w:tab w:val="left" w:pos="3834"/>
        </w:tabs>
        <w:jc w:val="center"/>
        <w:rPr>
          <w:b/>
          <w:bCs/>
        </w:rPr>
      </w:pPr>
    </w:p>
    <w:p w:rsidR="000322D5" w:rsidRPr="005D4C7A" w:rsidRDefault="000322D5" w:rsidP="000322D5">
      <w:pPr>
        <w:tabs>
          <w:tab w:val="left" w:pos="3834"/>
        </w:tabs>
        <w:jc w:val="center"/>
        <w:rPr>
          <w:b/>
          <w:bCs/>
        </w:rPr>
      </w:pPr>
      <w:r w:rsidRPr="005D4C7A">
        <w:rPr>
          <w:b/>
          <w:bCs/>
        </w:rPr>
        <w:t>_______________________________________________________________________________</w:t>
      </w:r>
      <w:r>
        <w:rPr>
          <w:b/>
          <w:bCs/>
        </w:rPr>
        <w:t>_____________________________</w:t>
      </w:r>
    </w:p>
    <w:p w:rsidR="000322D5" w:rsidRDefault="000322D5" w:rsidP="000322D5">
      <w:pPr>
        <w:tabs>
          <w:tab w:val="left" w:pos="3834"/>
        </w:tabs>
        <w:jc w:val="center"/>
        <w:rPr>
          <w:b/>
          <w:bCs/>
        </w:rPr>
      </w:pPr>
    </w:p>
    <w:p w:rsidR="00DB6E00" w:rsidRPr="005D4C7A" w:rsidRDefault="00DB6E00" w:rsidP="000322D5">
      <w:pPr>
        <w:tabs>
          <w:tab w:val="left" w:pos="3834"/>
        </w:tabs>
        <w:jc w:val="center"/>
        <w:rPr>
          <w:b/>
          <w:bCs/>
        </w:rPr>
      </w:pPr>
    </w:p>
    <w:p w:rsidR="000322D5" w:rsidRPr="005D4C7A" w:rsidRDefault="000322D5" w:rsidP="000322D5">
      <w:pPr>
        <w:jc w:val="center"/>
        <w:rPr>
          <w:b/>
          <w:bCs/>
        </w:rPr>
      </w:pPr>
    </w:p>
    <w:p w:rsidR="000322D5" w:rsidRPr="005D4C7A" w:rsidRDefault="000322D5" w:rsidP="000322D5">
      <w:pPr>
        <w:jc w:val="center"/>
        <w:rPr>
          <w:b/>
          <w:bCs/>
        </w:rPr>
      </w:pPr>
    </w:p>
    <w:p w:rsidR="000322D5" w:rsidRPr="005D4C7A" w:rsidRDefault="000322D5" w:rsidP="000322D5">
      <w:pPr>
        <w:jc w:val="center"/>
        <w:rPr>
          <w:b/>
          <w:bCs/>
        </w:rPr>
      </w:pPr>
      <w:r w:rsidRPr="005D4C7A">
        <w:rPr>
          <w:b/>
          <w:bCs/>
        </w:rPr>
        <w:t>MEMORANDUM  SHPJEGUES PËR PROJEKTLIGJIN NDRYSHIMIN DHE PLOTËSIMIN E LIGJIT NR.</w:t>
      </w:r>
      <w:r>
        <w:rPr>
          <w:b/>
          <w:bCs/>
        </w:rPr>
        <w:t xml:space="preserve"> </w:t>
      </w:r>
      <w:r w:rsidRPr="005D4C7A">
        <w:rPr>
          <w:b/>
          <w:bCs/>
        </w:rPr>
        <w:t xml:space="preserve">04/L – 065 </w:t>
      </w:r>
      <w:r w:rsidRPr="005D4C7A">
        <w:rPr>
          <w:b/>
        </w:rPr>
        <w:t>PËR TË DREJTAT E AUTORIT TË DREJTAT E PËRAFËRTA</w:t>
      </w:r>
    </w:p>
    <w:p w:rsidR="000322D5" w:rsidRDefault="000322D5" w:rsidP="000322D5">
      <w:pPr>
        <w:jc w:val="center"/>
        <w:rPr>
          <w:b/>
          <w:bCs/>
        </w:rPr>
      </w:pPr>
    </w:p>
    <w:p w:rsidR="00DB6E00" w:rsidRPr="005D4C7A" w:rsidRDefault="00DB6E00" w:rsidP="000322D5">
      <w:pPr>
        <w:jc w:val="center"/>
        <w:rPr>
          <w:b/>
          <w:bCs/>
        </w:rPr>
      </w:pPr>
    </w:p>
    <w:p w:rsidR="000322D5" w:rsidRPr="005D4C7A" w:rsidRDefault="000322D5" w:rsidP="000322D5">
      <w:pPr>
        <w:suppressAutoHyphens/>
        <w:autoSpaceDE w:val="0"/>
        <w:jc w:val="center"/>
        <w:rPr>
          <w:b/>
        </w:rPr>
      </w:pPr>
      <w:r w:rsidRPr="005D4C7A">
        <w:rPr>
          <w:b/>
        </w:rPr>
        <w:t>MEMORANDUM OBRAZLOŽENJA NACRT ZAKONA O PROMENI I DOPUNI ZAKONA BR.</w:t>
      </w:r>
      <w:r>
        <w:rPr>
          <w:b/>
        </w:rPr>
        <w:t xml:space="preserve"> </w:t>
      </w:r>
      <w:r w:rsidRPr="005D4C7A">
        <w:rPr>
          <w:b/>
        </w:rPr>
        <w:t>04 / L-065</w:t>
      </w:r>
    </w:p>
    <w:p w:rsidR="000322D5" w:rsidRPr="005D4C7A" w:rsidRDefault="000322D5" w:rsidP="000322D5">
      <w:pPr>
        <w:suppressAutoHyphens/>
        <w:autoSpaceDE w:val="0"/>
        <w:jc w:val="center"/>
        <w:rPr>
          <w:b/>
        </w:rPr>
      </w:pPr>
      <w:r w:rsidRPr="005D4C7A">
        <w:rPr>
          <w:b/>
        </w:rPr>
        <w:t>O AUTORKIM PRAVIMA I SRODNIH PRAVA</w:t>
      </w:r>
    </w:p>
    <w:p w:rsidR="000322D5" w:rsidRPr="005D4C7A" w:rsidRDefault="000322D5" w:rsidP="000322D5">
      <w:pPr>
        <w:shd w:val="clear" w:color="auto" w:fill="FFFFFF"/>
        <w:tabs>
          <w:tab w:val="left" w:pos="2006"/>
        </w:tabs>
        <w:jc w:val="center"/>
        <w:rPr>
          <w:b/>
          <w:bCs/>
        </w:rPr>
      </w:pPr>
    </w:p>
    <w:p w:rsidR="000322D5" w:rsidRPr="005D4C7A" w:rsidRDefault="000322D5" w:rsidP="000322D5">
      <w:pPr>
        <w:tabs>
          <w:tab w:val="left" w:pos="3834"/>
        </w:tabs>
        <w:jc w:val="center"/>
        <w:rPr>
          <w:b/>
          <w:bCs/>
        </w:rPr>
      </w:pPr>
    </w:p>
    <w:p w:rsidR="000322D5" w:rsidRDefault="000322D5" w:rsidP="000322D5">
      <w:pPr>
        <w:jc w:val="center"/>
        <w:rPr>
          <w:b/>
        </w:rPr>
      </w:pPr>
      <w:r w:rsidRPr="005D4C7A">
        <w:rPr>
          <w:b/>
        </w:rPr>
        <w:t xml:space="preserve">EXPLANATORY MEMORANDUM OF THE DRAFT LAW ON AMENDING AND SUPPLEMENTING  THE LAW </w:t>
      </w:r>
    </w:p>
    <w:p w:rsidR="000322D5" w:rsidRPr="005D4C7A" w:rsidRDefault="000322D5" w:rsidP="000322D5">
      <w:pPr>
        <w:jc w:val="center"/>
        <w:rPr>
          <w:b/>
        </w:rPr>
      </w:pPr>
      <w:r w:rsidRPr="005D4C7A">
        <w:rPr>
          <w:b/>
        </w:rPr>
        <w:t>NO. 04 / L – 065 ON COPYRIGHTS AND RELATED RIGHTS</w:t>
      </w:r>
    </w:p>
    <w:p w:rsidR="000322D5" w:rsidRPr="00503F27" w:rsidRDefault="000322D5" w:rsidP="000322D5">
      <w:pPr>
        <w:rPr>
          <w:b/>
          <w:lang w:val="en-GB"/>
        </w:rPr>
      </w:pPr>
    </w:p>
    <w:p w:rsidR="00090EF9" w:rsidRPr="00503F27" w:rsidRDefault="00090EF9" w:rsidP="00090EF9">
      <w:pPr>
        <w:tabs>
          <w:tab w:val="left" w:pos="3834"/>
        </w:tabs>
        <w:jc w:val="center"/>
        <w:rPr>
          <w:b/>
          <w:bCs/>
          <w:sz w:val="28"/>
          <w:szCs w:val="28"/>
          <w:lang w:val="en-GB"/>
        </w:rPr>
      </w:pPr>
    </w:p>
    <w:tbl>
      <w:tblPr>
        <w:tblW w:w="13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7"/>
        <w:gridCol w:w="4512"/>
        <w:gridCol w:w="4255"/>
      </w:tblGrid>
      <w:tr w:rsidR="00090EF9" w:rsidRPr="00503F27" w:rsidTr="00602A19">
        <w:trPr>
          <w:trHeight w:val="8496"/>
          <w:jc w:val="center"/>
        </w:trPr>
        <w:tc>
          <w:tcPr>
            <w:tcW w:w="4807" w:type="dxa"/>
          </w:tcPr>
          <w:p w:rsidR="00090EF9" w:rsidRPr="00503F27" w:rsidRDefault="00090EF9" w:rsidP="00602A19">
            <w:bookmarkStart w:id="2" w:name="top"/>
            <w:bookmarkEnd w:id="2"/>
          </w:p>
          <w:p w:rsidR="00090EF9" w:rsidRPr="005D4C7A" w:rsidRDefault="00090EF9" w:rsidP="00090EF9">
            <w:pPr>
              <w:jc w:val="center"/>
              <w:rPr>
                <w:b/>
                <w:bCs/>
              </w:rPr>
            </w:pPr>
            <w:r w:rsidRPr="005D4C7A">
              <w:rPr>
                <w:b/>
                <w:bCs/>
              </w:rPr>
              <w:t>MEMORANDUM  SHPJEGUES PËR PROJEKTLIGJIN NDRYSHIMIN DHE PLOTËSIMIN E LIGJIT NR.</w:t>
            </w:r>
            <w:r w:rsidR="000322D5">
              <w:rPr>
                <w:b/>
                <w:bCs/>
              </w:rPr>
              <w:t xml:space="preserve"> </w:t>
            </w:r>
            <w:r w:rsidRPr="005D4C7A">
              <w:rPr>
                <w:b/>
                <w:bCs/>
              </w:rPr>
              <w:t>04/L – 065</w:t>
            </w:r>
          </w:p>
          <w:p w:rsidR="00090EF9" w:rsidRPr="005D4C7A" w:rsidRDefault="00090EF9" w:rsidP="00090EF9">
            <w:pPr>
              <w:jc w:val="center"/>
              <w:rPr>
                <w:b/>
              </w:rPr>
            </w:pPr>
            <w:r w:rsidRPr="005D4C7A">
              <w:rPr>
                <w:b/>
              </w:rPr>
              <w:t>PËR TË DREJTAT E AUTORIT DHE TË DREJTAT E PËRAFËRTA</w:t>
            </w:r>
          </w:p>
          <w:p w:rsidR="00090EF9" w:rsidRPr="005D4C7A" w:rsidRDefault="00090EF9" w:rsidP="00090EF9">
            <w:pPr>
              <w:shd w:val="clear" w:color="auto" w:fill="FFFFFF"/>
              <w:tabs>
                <w:tab w:val="left" w:pos="2006"/>
              </w:tabs>
              <w:rPr>
                <w:b/>
                <w:bCs/>
              </w:rPr>
            </w:pPr>
          </w:p>
          <w:p w:rsidR="00090EF9" w:rsidRPr="005D4C7A" w:rsidRDefault="00090EF9" w:rsidP="00090EF9">
            <w:pPr>
              <w:shd w:val="clear" w:color="auto" w:fill="FFFFFF"/>
              <w:tabs>
                <w:tab w:val="left" w:pos="672"/>
              </w:tabs>
              <w:jc w:val="center"/>
              <w:rPr>
                <w:b/>
                <w:bCs/>
              </w:rPr>
            </w:pPr>
          </w:p>
          <w:p w:rsidR="00090EF9" w:rsidRPr="005D4C7A" w:rsidRDefault="00090EF9" w:rsidP="00090EF9">
            <w:pPr>
              <w:shd w:val="clear" w:color="auto" w:fill="FFFFFF"/>
              <w:tabs>
                <w:tab w:val="left" w:pos="672"/>
              </w:tabs>
              <w:jc w:val="center"/>
              <w:rPr>
                <w:b/>
                <w:bCs/>
              </w:rPr>
            </w:pPr>
            <w:r w:rsidRPr="005D4C7A">
              <w:rPr>
                <w:b/>
                <w:bCs/>
              </w:rPr>
              <w:t>1. Çështja kryesore e trajtuar</w:t>
            </w:r>
          </w:p>
          <w:p w:rsidR="00090EF9" w:rsidRPr="005D4C7A" w:rsidRDefault="00090EF9" w:rsidP="00090EF9">
            <w:pPr>
              <w:rPr>
                <w:b/>
                <w:bCs/>
                <w:color w:val="000000"/>
                <w:lang w:eastAsia="ja-JP"/>
              </w:rPr>
            </w:pPr>
          </w:p>
          <w:p w:rsidR="00090EF9" w:rsidRPr="00B7542D" w:rsidRDefault="00090EF9" w:rsidP="00B7542D">
            <w:pPr>
              <w:jc w:val="both"/>
              <w:rPr>
                <w:bCs/>
                <w:color w:val="000000"/>
                <w:lang w:eastAsia="ja-JP"/>
              </w:rPr>
            </w:pPr>
            <w:r w:rsidRPr="005D4C7A">
              <w:rPr>
                <w:bCs/>
                <w:color w:val="000000"/>
                <w:lang w:eastAsia="ja-JP"/>
              </w:rPr>
              <w:t xml:space="preserve">Hartimi dhe zbatimi efektiv i legjislacionit përkatës dhe me standarde  për  të  Drejtat e Autorit, mbetet prioritet i rëndësishëm i përgjegjësve, propozues të politikës dhe legjislacionit për këtë fushë. Së këndejmi, për shkak se Republika e Kosovës gjendet në një proces të vazhdueshëm të reformimit të legjislacionit, nga fillimi i këtij viti  ka hyrë në fuqi Ligji Nr. 05/L–087 për Kundërvajtjet  i cili paraqet obligime për institucionet </w:t>
            </w:r>
            <w:proofErr w:type="spellStart"/>
            <w:r w:rsidRPr="005D4C7A">
              <w:rPr>
                <w:bCs/>
                <w:color w:val="000000"/>
                <w:lang w:eastAsia="ja-JP"/>
              </w:rPr>
              <w:t>respektive</w:t>
            </w:r>
            <w:proofErr w:type="spellEnd"/>
            <w:r w:rsidRPr="005D4C7A">
              <w:rPr>
                <w:bCs/>
                <w:color w:val="000000"/>
                <w:lang w:eastAsia="ja-JP"/>
              </w:rPr>
              <w:t xml:space="preserve"> që të iniciojnë procedurat dhe nismat legjislative me të cilat dispozitat aktuale  në legjislacionin aktual në fuqi që parashohin kundërvajtje apo sanksione të natyrës </w:t>
            </w:r>
            <w:proofErr w:type="spellStart"/>
            <w:r w:rsidRPr="005D4C7A">
              <w:rPr>
                <w:bCs/>
                <w:color w:val="000000"/>
                <w:lang w:eastAsia="ja-JP"/>
              </w:rPr>
              <w:t>kundërvajtëse</w:t>
            </w:r>
            <w:proofErr w:type="spellEnd"/>
            <w:r w:rsidRPr="005D4C7A">
              <w:rPr>
                <w:bCs/>
                <w:color w:val="000000"/>
                <w:lang w:eastAsia="ja-JP"/>
              </w:rPr>
              <w:t xml:space="preserve"> e që nuk janë në harmoni me këtë Ligj, të harmonizohen brenda një viti. Në këtë mënyrë, Ministria e Kulturës, Rinisë dhe   Sportit, përmes </w:t>
            </w:r>
            <w:proofErr w:type="spellStart"/>
            <w:r w:rsidRPr="005D4C7A">
              <w:rPr>
                <w:bCs/>
                <w:color w:val="000000"/>
                <w:lang w:eastAsia="ja-JP"/>
              </w:rPr>
              <w:t>sponsorizimit</w:t>
            </w:r>
            <w:proofErr w:type="spellEnd"/>
            <w:r w:rsidRPr="005D4C7A">
              <w:rPr>
                <w:bCs/>
                <w:color w:val="000000"/>
                <w:lang w:eastAsia="ja-JP"/>
              </w:rPr>
              <w:t xml:space="preserve"> të </w:t>
            </w:r>
            <w:r w:rsidRPr="005D4C7A">
              <w:rPr>
                <w:bCs/>
                <w:color w:val="000000" w:themeColor="text1"/>
                <w:lang w:eastAsia="ja-JP"/>
              </w:rPr>
              <w:t>Projektligjit Nr. 06/L – XX</w:t>
            </w:r>
            <w:r w:rsidRPr="005D4C7A">
              <w:rPr>
                <w:bCs/>
                <w:color w:val="FF0000"/>
                <w:lang w:eastAsia="ja-JP"/>
              </w:rPr>
              <w:t xml:space="preserve"> </w:t>
            </w:r>
            <w:r w:rsidRPr="005D4C7A">
              <w:rPr>
                <w:bCs/>
                <w:color w:val="000000"/>
                <w:lang w:eastAsia="ja-JP"/>
              </w:rPr>
              <w:t xml:space="preserve">për Ndryshimin dhe Plotësimin e Ligjit Nr. 04/L – 065 për te Drejtat e Autorit, përmbushë edhe një detyrim të Qeverisë së Republikës së Kosovës që procesi i harmonizimit të përfundojë dhe të krijohen kushtet për zbatimin efikas të sistemit të ri të rregulluar për </w:t>
            </w:r>
            <w:proofErr w:type="spellStart"/>
            <w:r w:rsidRPr="005D4C7A">
              <w:rPr>
                <w:bCs/>
                <w:color w:val="000000"/>
                <w:lang w:eastAsia="ja-JP"/>
              </w:rPr>
              <w:t>kundërvjajtjet</w:t>
            </w:r>
            <w:proofErr w:type="spellEnd"/>
            <w:r w:rsidRPr="005D4C7A">
              <w:rPr>
                <w:bCs/>
                <w:color w:val="000000"/>
                <w:lang w:eastAsia="ja-JP"/>
              </w:rPr>
              <w:t xml:space="preserve"> dhe sanksionet </w:t>
            </w:r>
            <w:proofErr w:type="spellStart"/>
            <w:r w:rsidRPr="005D4C7A">
              <w:rPr>
                <w:bCs/>
                <w:color w:val="000000"/>
                <w:lang w:eastAsia="ja-JP"/>
              </w:rPr>
              <w:t>kundërvajtëse</w:t>
            </w:r>
            <w:proofErr w:type="spellEnd"/>
            <w:r w:rsidRPr="005D4C7A">
              <w:rPr>
                <w:bCs/>
                <w:color w:val="000000"/>
                <w:lang w:eastAsia="ja-JP"/>
              </w:rPr>
              <w:t xml:space="preserve"> me Ligjin Nr. 05/L – 087 për Kundërvajtjet edhe në fushën e te Drejtave të Autorit.</w:t>
            </w:r>
          </w:p>
          <w:p w:rsidR="00090EF9" w:rsidRDefault="00090EF9" w:rsidP="00B7542D">
            <w:pPr>
              <w:jc w:val="both"/>
            </w:pPr>
          </w:p>
          <w:p w:rsidR="00B7542D" w:rsidRDefault="00B7542D" w:rsidP="00B7542D">
            <w:pPr>
              <w:jc w:val="both"/>
            </w:pPr>
          </w:p>
          <w:p w:rsidR="00090EF9" w:rsidRPr="005D4C7A" w:rsidRDefault="00090EF9" w:rsidP="00B7542D">
            <w:pPr>
              <w:jc w:val="both"/>
            </w:pPr>
          </w:p>
          <w:p w:rsidR="00090EF9" w:rsidRPr="005D4C7A" w:rsidRDefault="00090EF9" w:rsidP="00090EF9">
            <w:pPr>
              <w:shd w:val="clear" w:color="auto" w:fill="FFFFFF"/>
              <w:tabs>
                <w:tab w:val="left" w:pos="672"/>
              </w:tabs>
              <w:jc w:val="center"/>
              <w:rPr>
                <w:b/>
                <w:bCs/>
              </w:rPr>
            </w:pPr>
            <w:r w:rsidRPr="005D4C7A">
              <w:rPr>
                <w:b/>
                <w:bCs/>
              </w:rPr>
              <w:t>2. Objektivat dhe ndërlidhja e tyre me prioritetet e Qeverisë</w:t>
            </w:r>
          </w:p>
          <w:p w:rsidR="00090EF9" w:rsidRPr="005D4C7A" w:rsidRDefault="00090EF9" w:rsidP="00090EF9">
            <w:pPr>
              <w:shd w:val="clear" w:color="auto" w:fill="FFFFFF"/>
              <w:tabs>
                <w:tab w:val="left" w:pos="672"/>
              </w:tabs>
              <w:rPr>
                <w:b/>
                <w:bCs/>
              </w:rPr>
            </w:pPr>
          </w:p>
          <w:p w:rsidR="00090EF9" w:rsidRDefault="00090EF9" w:rsidP="00B7542D">
            <w:pPr>
              <w:shd w:val="clear" w:color="auto" w:fill="FFFFFF"/>
              <w:tabs>
                <w:tab w:val="left" w:pos="672"/>
              </w:tabs>
              <w:jc w:val="both"/>
              <w:rPr>
                <w:bCs/>
                <w:color w:val="000000"/>
                <w:lang w:eastAsia="ja-JP"/>
              </w:rPr>
            </w:pPr>
            <w:r w:rsidRPr="005D4C7A">
              <w:rPr>
                <w:bCs/>
                <w:color w:val="000000"/>
                <w:lang w:eastAsia="ja-JP"/>
              </w:rPr>
              <w:t xml:space="preserve">E Drejta e Autorit në Republikën e Kosovës, trajtohet me prioritet në kuadër të organizimit institucional dhe legjislativ me qëllim të arritjes së konsolidimit të vazhdueshëm të një sistemi të qëndrueshëm  te të Drejtave të Autorit dhe te Drejtat e </w:t>
            </w:r>
            <w:proofErr w:type="spellStart"/>
            <w:r w:rsidRPr="005D4C7A">
              <w:rPr>
                <w:bCs/>
                <w:color w:val="000000"/>
                <w:lang w:eastAsia="ja-JP"/>
              </w:rPr>
              <w:t>Përaferta</w:t>
            </w:r>
            <w:proofErr w:type="spellEnd"/>
            <w:r w:rsidRPr="005D4C7A">
              <w:rPr>
                <w:bCs/>
                <w:color w:val="000000"/>
                <w:lang w:eastAsia="ja-JP"/>
              </w:rPr>
              <w:t>.</w:t>
            </w:r>
          </w:p>
          <w:p w:rsidR="00090EF9" w:rsidRPr="005D4C7A" w:rsidRDefault="00090EF9" w:rsidP="00B7542D">
            <w:pPr>
              <w:shd w:val="clear" w:color="auto" w:fill="FFFFFF"/>
              <w:tabs>
                <w:tab w:val="left" w:pos="672"/>
              </w:tabs>
              <w:jc w:val="both"/>
              <w:rPr>
                <w:b/>
                <w:bCs/>
              </w:rPr>
            </w:pPr>
          </w:p>
          <w:p w:rsidR="00090EF9" w:rsidRDefault="00090EF9" w:rsidP="00B7542D">
            <w:pPr>
              <w:shd w:val="clear" w:color="auto" w:fill="FFFFFF"/>
              <w:tabs>
                <w:tab w:val="left" w:pos="672"/>
              </w:tabs>
              <w:jc w:val="both"/>
              <w:rPr>
                <w:bCs/>
              </w:rPr>
            </w:pPr>
            <w:r w:rsidRPr="005D4C7A">
              <w:rPr>
                <w:bCs/>
              </w:rPr>
              <w:t xml:space="preserve">Qeveria e Republikës së Kosovës, ne Programin e saj 2017 – 2021, faqe 12, pika katër (4) ka përcaktuar si objektiv ndër të tjera, përmirësimin e sistemit të planifikimit dhe koordinimit të politikave dhe legjislacionit. Në këtë drejtim, </w:t>
            </w:r>
            <w:proofErr w:type="spellStart"/>
            <w:r w:rsidRPr="005D4C7A">
              <w:rPr>
                <w:bCs/>
              </w:rPr>
              <w:t>hamonizimi</w:t>
            </w:r>
            <w:proofErr w:type="spellEnd"/>
            <w:r w:rsidRPr="005D4C7A">
              <w:rPr>
                <w:bCs/>
              </w:rPr>
              <w:t xml:space="preserve"> i legjislacionit sektorial me atë sistemor është parakusht thelbësor për sigurimin e zbatimit efektiv të Ligjit, në frymën e standardeve të qeverisjes së mirë, barazisë para ligjit, sigurisë juridike dhe respektimit të </w:t>
            </w:r>
            <w:proofErr w:type="spellStart"/>
            <w:r w:rsidRPr="005D4C7A">
              <w:rPr>
                <w:bCs/>
              </w:rPr>
              <w:t>të</w:t>
            </w:r>
            <w:proofErr w:type="spellEnd"/>
            <w:r w:rsidRPr="005D4C7A">
              <w:rPr>
                <w:bCs/>
              </w:rPr>
              <w:t xml:space="preserve"> drejtave dhe lirive themelore të njeriut.</w:t>
            </w:r>
          </w:p>
          <w:p w:rsidR="00090EF9" w:rsidRPr="005D4C7A" w:rsidRDefault="00090EF9" w:rsidP="00B7542D">
            <w:pPr>
              <w:shd w:val="clear" w:color="auto" w:fill="FFFFFF"/>
              <w:tabs>
                <w:tab w:val="left" w:pos="672"/>
              </w:tabs>
              <w:jc w:val="both"/>
              <w:rPr>
                <w:bCs/>
              </w:rPr>
            </w:pPr>
          </w:p>
          <w:p w:rsidR="00090EF9" w:rsidRPr="005D4C7A" w:rsidRDefault="00090EF9" w:rsidP="00B7542D">
            <w:pPr>
              <w:shd w:val="clear" w:color="auto" w:fill="FFFFFF"/>
              <w:tabs>
                <w:tab w:val="left" w:pos="672"/>
              </w:tabs>
              <w:jc w:val="both"/>
            </w:pPr>
            <w:r w:rsidRPr="005D4C7A">
              <w:rPr>
                <w:bCs/>
              </w:rPr>
              <w:t xml:space="preserve">Vendimmarrja e sotme nga ana e Qeverisë së Republikës së Kosovës, shprehë </w:t>
            </w:r>
            <w:proofErr w:type="spellStart"/>
            <w:r w:rsidRPr="005D4C7A">
              <w:rPr>
                <w:bCs/>
              </w:rPr>
              <w:t>poashtu</w:t>
            </w:r>
            <w:proofErr w:type="spellEnd"/>
            <w:r w:rsidRPr="005D4C7A">
              <w:rPr>
                <w:bCs/>
              </w:rPr>
              <w:t xml:space="preserve"> edhe zbatimin e objektives strategjike. </w:t>
            </w:r>
            <w:r w:rsidRPr="005D4C7A">
              <w:t>Kompletimi i legjislacionit, harmonizimi i Ligjit dhe akteve ligjore  me te Drejtat e Autorit dhe  me ligjet tjera të Kosovës.</w:t>
            </w:r>
          </w:p>
          <w:p w:rsidR="00090EF9" w:rsidRPr="005D4C7A" w:rsidRDefault="00090EF9" w:rsidP="00B7542D">
            <w:pPr>
              <w:shd w:val="clear" w:color="auto" w:fill="FFFFFF"/>
              <w:tabs>
                <w:tab w:val="left" w:pos="672"/>
              </w:tabs>
              <w:jc w:val="both"/>
              <w:rPr>
                <w:bCs/>
                <w:color w:val="FF0000"/>
              </w:rPr>
            </w:pPr>
            <w:r w:rsidRPr="005D4C7A">
              <w:rPr>
                <w:color w:val="000000" w:themeColor="text1"/>
              </w:rPr>
              <w:t xml:space="preserve">I njëjti përkushtim është shprehur si orientim strategjik edhe në pjesën e Programit të Qeverisë së Republikës së Kosovës, në faqe 53 pika 5. </w:t>
            </w:r>
          </w:p>
          <w:p w:rsidR="00090EF9" w:rsidRPr="005D4C7A" w:rsidRDefault="00090EF9" w:rsidP="00B7542D">
            <w:pPr>
              <w:shd w:val="clear" w:color="auto" w:fill="FFFFFF"/>
              <w:tabs>
                <w:tab w:val="left" w:pos="672"/>
              </w:tabs>
              <w:jc w:val="both"/>
              <w:rPr>
                <w:bCs/>
              </w:rPr>
            </w:pPr>
            <w:r w:rsidRPr="005D4C7A">
              <w:rPr>
                <w:bCs/>
              </w:rPr>
              <w:t xml:space="preserve">Projektligji i propozuar duhet  të reflektojë këto standarde, politika dhe përcaktime strategjike të Qeverisë së Republikës së Kosovës, Ministrisë së Kulturës, Rinisë dhe Sportit në kuadër të angazhimeve të tyre që rrjedhin nga obligimet kushtetuese dhe ligjore sipas mandatit të përcaktuar. </w:t>
            </w:r>
          </w:p>
          <w:p w:rsidR="00090EF9" w:rsidRPr="005D4C7A" w:rsidRDefault="00090EF9" w:rsidP="00090EF9">
            <w:pPr>
              <w:autoSpaceDE w:val="0"/>
              <w:autoSpaceDN w:val="0"/>
              <w:adjustRightInd w:val="0"/>
              <w:rPr>
                <w:b/>
                <w:bCs/>
              </w:rPr>
            </w:pPr>
          </w:p>
          <w:p w:rsidR="00090EF9" w:rsidRPr="005D4C7A" w:rsidRDefault="00090EF9" w:rsidP="00090EF9">
            <w:pPr>
              <w:autoSpaceDE w:val="0"/>
              <w:autoSpaceDN w:val="0"/>
              <w:adjustRightInd w:val="0"/>
              <w:jc w:val="center"/>
              <w:rPr>
                <w:b/>
                <w:bCs/>
              </w:rPr>
            </w:pPr>
          </w:p>
          <w:p w:rsidR="00090EF9" w:rsidRPr="005D4C7A" w:rsidRDefault="00090EF9" w:rsidP="00090EF9">
            <w:pPr>
              <w:autoSpaceDE w:val="0"/>
              <w:autoSpaceDN w:val="0"/>
              <w:adjustRightInd w:val="0"/>
              <w:jc w:val="center"/>
              <w:rPr>
                <w:b/>
                <w:bCs/>
              </w:rPr>
            </w:pPr>
            <w:r w:rsidRPr="005D4C7A">
              <w:rPr>
                <w:b/>
                <w:bCs/>
              </w:rPr>
              <w:t>3. Opsioni i rekomanduar</w:t>
            </w:r>
          </w:p>
          <w:p w:rsidR="00090EF9" w:rsidRPr="005D4C7A" w:rsidRDefault="00090EF9" w:rsidP="00090EF9">
            <w:pPr>
              <w:shd w:val="clear" w:color="auto" w:fill="FFFFFF"/>
              <w:tabs>
                <w:tab w:val="left" w:pos="672"/>
              </w:tabs>
            </w:pPr>
          </w:p>
          <w:p w:rsidR="00090EF9" w:rsidRPr="005D4C7A" w:rsidRDefault="00090EF9" w:rsidP="00D374FE">
            <w:pPr>
              <w:jc w:val="both"/>
              <w:rPr>
                <w:bCs/>
                <w:color w:val="000000"/>
                <w:lang w:eastAsia="ja-JP"/>
              </w:rPr>
            </w:pPr>
            <w:r w:rsidRPr="005D4C7A">
              <w:t xml:space="preserve">Nga zgjidhjet dhe opsionet e mundshme të diskutuara është </w:t>
            </w:r>
            <w:proofErr w:type="spellStart"/>
            <w:r w:rsidRPr="005D4C7A">
              <w:t>konkluduar</w:t>
            </w:r>
            <w:proofErr w:type="spellEnd"/>
            <w:r w:rsidRPr="005D4C7A">
              <w:t xml:space="preserve"> opsioni i hartimit të Projektligjit për të bërë të mundur harmonizimin e dispozitave të Ligjit Nr. 04/L – 065 për të Drejtat e Autorit  me dispozitat përkatëse të Ligjit Nr. </w:t>
            </w:r>
            <w:r w:rsidRPr="005D4C7A">
              <w:rPr>
                <w:bCs/>
                <w:color w:val="000000"/>
                <w:lang w:eastAsia="ja-JP"/>
              </w:rPr>
              <w:t>05/L – 087 për Kundërvajtjet.</w:t>
            </w:r>
          </w:p>
          <w:p w:rsidR="00090EF9" w:rsidRDefault="00090EF9" w:rsidP="00090EF9">
            <w:pPr>
              <w:autoSpaceDE w:val="0"/>
              <w:autoSpaceDN w:val="0"/>
              <w:adjustRightInd w:val="0"/>
              <w:rPr>
                <w:b/>
                <w:bCs/>
              </w:rPr>
            </w:pPr>
          </w:p>
          <w:p w:rsidR="00D374FE" w:rsidRPr="005D4C7A" w:rsidRDefault="00D374FE" w:rsidP="00090EF9">
            <w:pPr>
              <w:autoSpaceDE w:val="0"/>
              <w:autoSpaceDN w:val="0"/>
              <w:adjustRightInd w:val="0"/>
              <w:rPr>
                <w:b/>
                <w:bCs/>
              </w:rPr>
            </w:pPr>
          </w:p>
          <w:p w:rsidR="00090EF9" w:rsidRPr="005D4C7A" w:rsidRDefault="00090EF9" w:rsidP="00090EF9">
            <w:pPr>
              <w:autoSpaceDE w:val="0"/>
              <w:autoSpaceDN w:val="0"/>
              <w:adjustRightInd w:val="0"/>
              <w:jc w:val="center"/>
              <w:rPr>
                <w:b/>
                <w:bCs/>
              </w:rPr>
            </w:pPr>
            <w:r w:rsidRPr="005D4C7A">
              <w:rPr>
                <w:b/>
                <w:bCs/>
              </w:rPr>
              <w:t>4. Arsyetimi i propozimit, duke përfshirë një shpjegim të nivelit të përafrimit me legjislacionin e BE-së</w:t>
            </w:r>
          </w:p>
          <w:p w:rsidR="00090EF9" w:rsidRPr="005D4C7A" w:rsidRDefault="00090EF9" w:rsidP="00090EF9">
            <w:pPr>
              <w:shd w:val="clear" w:color="auto" w:fill="FFFFFF"/>
              <w:rPr>
                <w:color w:val="FF0000"/>
              </w:rPr>
            </w:pPr>
          </w:p>
          <w:p w:rsidR="00090EF9" w:rsidRPr="005D4C7A" w:rsidRDefault="00090EF9" w:rsidP="00090EF9">
            <w:pPr>
              <w:shd w:val="clear" w:color="auto" w:fill="FFFFFF"/>
              <w:rPr>
                <w:color w:val="FF0000"/>
              </w:rPr>
            </w:pPr>
            <w:r w:rsidRPr="005D4C7A">
              <w:t xml:space="preserve">Nuk aplikohet. </w:t>
            </w:r>
          </w:p>
          <w:p w:rsidR="00090EF9" w:rsidRPr="005D4C7A" w:rsidRDefault="00090EF9" w:rsidP="00090EF9">
            <w:pPr>
              <w:shd w:val="clear" w:color="auto" w:fill="FFFFFF"/>
              <w:rPr>
                <w:color w:val="FF0000"/>
                <w:lang w:eastAsia="en-GB"/>
              </w:rPr>
            </w:pPr>
          </w:p>
          <w:p w:rsidR="00090EF9" w:rsidRPr="005D4C7A" w:rsidRDefault="00090EF9" w:rsidP="00090EF9">
            <w:pPr>
              <w:autoSpaceDE w:val="0"/>
              <w:autoSpaceDN w:val="0"/>
              <w:adjustRightInd w:val="0"/>
              <w:rPr>
                <w:b/>
                <w:bCs/>
              </w:rPr>
            </w:pPr>
          </w:p>
          <w:p w:rsidR="00090EF9" w:rsidRPr="005D4C7A" w:rsidRDefault="00090EF9" w:rsidP="00090EF9">
            <w:pPr>
              <w:autoSpaceDE w:val="0"/>
              <w:autoSpaceDN w:val="0"/>
              <w:adjustRightInd w:val="0"/>
              <w:rPr>
                <w:b/>
                <w:bCs/>
              </w:rPr>
            </w:pPr>
          </w:p>
          <w:p w:rsidR="00090EF9" w:rsidRPr="005D4C7A" w:rsidRDefault="00090EF9" w:rsidP="00090EF9">
            <w:pPr>
              <w:autoSpaceDE w:val="0"/>
              <w:autoSpaceDN w:val="0"/>
              <w:adjustRightInd w:val="0"/>
              <w:jc w:val="center"/>
              <w:rPr>
                <w:b/>
                <w:bCs/>
              </w:rPr>
            </w:pPr>
            <w:r w:rsidRPr="005D4C7A">
              <w:rPr>
                <w:b/>
                <w:bCs/>
              </w:rPr>
              <w:t>5. Elementet kryesore të legjislacionit ose politikës së propozuar (përmbajtja,</w:t>
            </w:r>
          </w:p>
          <w:p w:rsidR="00090EF9" w:rsidRPr="005D4C7A" w:rsidRDefault="00090EF9" w:rsidP="00D374FE">
            <w:pPr>
              <w:autoSpaceDE w:val="0"/>
              <w:autoSpaceDN w:val="0"/>
              <w:adjustRightInd w:val="0"/>
              <w:jc w:val="center"/>
              <w:rPr>
                <w:b/>
                <w:bCs/>
              </w:rPr>
            </w:pPr>
            <w:r w:rsidRPr="005D4C7A">
              <w:rPr>
                <w:b/>
                <w:bCs/>
              </w:rPr>
              <w:t>instrumentet e politikave, kostoja, procedurat administrative)</w:t>
            </w:r>
          </w:p>
          <w:p w:rsidR="00090EF9" w:rsidRPr="005D4C7A" w:rsidRDefault="00090EF9" w:rsidP="00D374FE">
            <w:pPr>
              <w:shd w:val="clear" w:color="auto" w:fill="FFFFFF"/>
              <w:jc w:val="both"/>
              <w:rPr>
                <w:color w:val="000000"/>
              </w:rPr>
            </w:pPr>
            <w:r w:rsidRPr="005D4C7A">
              <w:rPr>
                <w:color w:val="000000"/>
              </w:rPr>
              <w:t xml:space="preserve">Me këtë Projektligj, ndryshohet/plotësohet Ligji Nr. 04/L – 065 për të Drejtat e Autorit përmes të cilit  dispozitat të cilat përmbajnë procedura, masa apo sanksione </w:t>
            </w:r>
            <w:proofErr w:type="spellStart"/>
            <w:r w:rsidRPr="005D4C7A">
              <w:rPr>
                <w:color w:val="000000"/>
              </w:rPr>
              <w:t>kundërvajtëse</w:t>
            </w:r>
            <w:proofErr w:type="spellEnd"/>
            <w:r w:rsidRPr="005D4C7A">
              <w:rPr>
                <w:color w:val="000000"/>
              </w:rPr>
              <w:t xml:space="preserve"> të harmonizohen me Ligjin Nr. 05/L – 087 për Kundërvajtjet. </w:t>
            </w:r>
          </w:p>
          <w:p w:rsidR="00090EF9" w:rsidRPr="005D4C7A" w:rsidRDefault="00090EF9" w:rsidP="00D374FE">
            <w:pPr>
              <w:shd w:val="clear" w:color="auto" w:fill="FFFFFF"/>
              <w:jc w:val="both"/>
              <w:rPr>
                <w:color w:val="000000"/>
              </w:rPr>
            </w:pPr>
            <w:r w:rsidRPr="005D4C7A">
              <w:rPr>
                <w:color w:val="000000"/>
              </w:rPr>
              <w:t xml:space="preserve">Përmes këtij Projektligji janë harmonizuar shumat e gjobave në kufirin minimal dhe maksimal, kushtet kur sanksioni kundërvajtës mund të dyfishon autoritetin publik, kompetent për shqiptimin e gjobave të drejtat për të kërkuar kompensimin e dëmit si dhe procedurat përkatëse, të drejtat në ushtrimin e mjeteve juridike etj.  </w:t>
            </w:r>
          </w:p>
          <w:p w:rsidR="00090EF9" w:rsidRPr="005D4C7A" w:rsidRDefault="00090EF9" w:rsidP="00090EF9">
            <w:pPr>
              <w:shd w:val="clear" w:color="auto" w:fill="FFFFFF"/>
              <w:rPr>
                <w:color w:val="000000"/>
              </w:rPr>
            </w:pPr>
          </w:p>
          <w:p w:rsidR="00090EF9" w:rsidRPr="005D4C7A" w:rsidRDefault="00090EF9" w:rsidP="00090EF9">
            <w:pPr>
              <w:shd w:val="clear" w:color="auto" w:fill="FFFFFF"/>
              <w:rPr>
                <w:color w:val="000000"/>
              </w:rPr>
            </w:pPr>
          </w:p>
          <w:p w:rsidR="00090EF9" w:rsidRPr="005D4C7A" w:rsidRDefault="00090EF9" w:rsidP="00090EF9">
            <w:pPr>
              <w:autoSpaceDE w:val="0"/>
              <w:autoSpaceDN w:val="0"/>
              <w:adjustRightInd w:val="0"/>
              <w:rPr>
                <w:b/>
                <w:bCs/>
              </w:rPr>
            </w:pPr>
          </w:p>
          <w:p w:rsidR="00090EF9" w:rsidRPr="005D4C7A" w:rsidRDefault="00090EF9" w:rsidP="008741E7">
            <w:pPr>
              <w:autoSpaceDE w:val="0"/>
              <w:autoSpaceDN w:val="0"/>
              <w:adjustRightInd w:val="0"/>
              <w:jc w:val="center"/>
              <w:rPr>
                <w:b/>
                <w:bCs/>
              </w:rPr>
            </w:pPr>
            <w:r w:rsidRPr="005D4C7A">
              <w:rPr>
                <w:b/>
                <w:bCs/>
              </w:rPr>
              <w:t>6. Vlerësimi i ndikimit financiar të projektligjit</w:t>
            </w:r>
          </w:p>
          <w:p w:rsidR="00090EF9" w:rsidRPr="005D4C7A" w:rsidRDefault="00090EF9" w:rsidP="00090EF9">
            <w:pPr>
              <w:autoSpaceDE w:val="0"/>
              <w:autoSpaceDN w:val="0"/>
              <w:adjustRightInd w:val="0"/>
              <w:rPr>
                <w:b/>
                <w:bCs/>
              </w:rPr>
            </w:pPr>
          </w:p>
          <w:p w:rsidR="00090EF9" w:rsidRDefault="00090EF9" w:rsidP="00D374FE">
            <w:pPr>
              <w:autoSpaceDE w:val="0"/>
              <w:autoSpaceDN w:val="0"/>
              <w:adjustRightInd w:val="0"/>
              <w:jc w:val="both"/>
              <w:rPr>
                <w:bCs/>
              </w:rPr>
            </w:pPr>
            <w:r w:rsidRPr="005D4C7A">
              <w:rPr>
                <w:bCs/>
              </w:rPr>
              <w:t xml:space="preserve">Të gjitha ndikimet e mundshme financiare për këtë projektligj, janë pjesë e ndarjeve aktuale buxhetore të Ministrisë së Kulturës, Rinisë dhe Sportit. </w:t>
            </w:r>
          </w:p>
          <w:p w:rsidR="008741E7" w:rsidRDefault="008741E7" w:rsidP="00090EF9">
            <w:pPr>
              <w:autoSpaceDE w:val="0"/>
              <w:autoSpaceDN w:val="0"/>
              <w:adjustRightInd w:val="0"/>
              <w:rPr>
                <w:bCs/>
              </w:rPr>
            </w:pPr>
          </w:p>
          <w:p w:rsidR="008741E7" w:rsidRPr="002B7497" w:rsidRDefault="008741E7" w:rsidP="00090EF9">
            <w:pPr>
              <w:autoSpaceDE w:val="0"/>
              <w:autoSpaceDN w:val="0"/>
              <w:adjustRightInd w:val="0"/>
              <w:rPr>
                <w:bCs/>
              </w:rPr>
            </w:pPr>
          </w:p>
          <w:p w:rsidR="00090EF9" w:rsidRPr="005D4C7A" w:rsidRDefault="00090EF9" w:rsidP="00090EF9">
            <w:pPr>
              <w:autoSpaceDE w:val="0"/>
              <w:autoSpaceDN w:val="0"/>
              <w:adjustRightInd w:val="0"/>
              <w:jc w:val="center"/>
              <w:rPr>
                <w:b/>
                <w:bCs/>
              </w:rPr>
            </w:pPr>
            <w:r w:rsidRPr="005D4C7A">
              <w:rPr>
                <w:b/>
                <w:bCs/>
              </w:rPr>
              <w:t>7. Konsultimi (kush është konsultuar dhe përmbledhje të shkurtra të përgjigjeve)</w:t>
            </w:r>
          </w:p>
          <w:p w:rsidR="00090EF9" w:rsidRPr="005D4C7A" w:rsidRDefault="00090EF9" w:rsidP="00090EF9">
            <w:pPr>
              <w:autoSpaceDE w:val="0"/>
              <w:autoSpaceDN w:val="0"/>
              <w:adjustRightInd w:val="0"/>
              <w:rPr>
                <w:b/>
                <w:bCs/>
              </w:rPr>
            </w:pPr>
          </w:p>
          <w:p w:rsidR="00090EF9" w:rsidRPr="005D4C7A" w:rsidRDefault="00090EF9" w:rsidP="00142FC6">
            <w:pPr>
              <w:jc w:val="both"/>
            </w:pPr>
            <w:r w:rsidRPr="005D4C7A">
              <w:t>Gjat</w:t>
            </w:r>
            <w:r w:rsidRPr="005D4C7A">
              <w:rPr>
                <w:bCs/>
                <w:color w:val="000000"/>
                <w:lang w:eastAsia="ja-JP"/>
              </w:rPr>
              <w:t>ë</w:t>
            </w:r>
            <w:r w:rsidRPr="005D4C7A">
              <w:t xml:space="preserve"> procesit të hartimit të Projektligjit janë zhvilluar konsultime me punonjës profesional dhe zyrtarë të institucioneve dhe njësive organizative, përgjegjës për ushtrimin e detyrave dhe mandatit në fushën e të Drejtave të Autorit. </w:t>
            </w:r>
          </w:p>
          <w:p w:rsidR="00090EF9" w:rsidRDefault="00090EF9" w:rsidP="00142FC6">
            <w:pPr>
              <w:jc w:val="both"/>
            </w:pPr>
            <w:r w:rsidRPr="005D4C7A">
              <w:t xml:space="preserve">Ky Projektligj është dërguar </w:t>
            </w:r>
            <w:proofErr w:type="spellStart"/>
            <w:r w:rsidRPr="005D4C7A">
              <w:t>poashtu</w:t>
            </w:r>
            <w:proofErr w:type="spellEnd"/>
            <w:r w:rsidRPr="005D4C7A">
              <w:t xml:space="preserve"> për konsultime publike edhe tek institucioneve tjera sipas Listës janë konsultuar këto institucione:</w:t>
            </w:r>
          </w:p>
          <w:p w:rsidR="00090EF9" w:rsidRPr="00503F27" w:rsidRDefault="00090EF9" w:rsidP="00602A19"/>
          <w:p w:rsidR="00090EF9" w:rsidRPr="00061AD2" w:rsidRDefault="00090EF9" w:rsidP="00602A19">
            <w:pPr>
              <w:rPr>
                <w:color w:val="000000" w:themeColor="text1"/>
              </w:rPr>
            </w:pPr>
            <w:r w:rsidRPr="00061AD2">
              <w:rPr>
                <w:color w:val="000000" w:themeColor="text1"/>
              </w:rPr>
              <w:t>1.</w:t>
            </w:r>
            <w:r w:rsidRPr="00090EF9">
              <w:rPr>
                <w:color w:val="FF0000"/>
              </w:rPr>
              <w:t xml:space="preserve"> </w:t>
            </w:r>
            <w:r w:rsidRPr="00061AD2">
              <w:rPr>
                <w:color w:val="000000" w:themeColor="text1"/>
              </w:rPr>
              <w:t>Ministria e Financave  (MF);</w:t>
            </w:r>
          </w:p>
          <w:p w:rsidR="00090EF9" w:rsidRPr="00061AD2" w:rsidRDefault="00090EF9" w:rsidP="00602A19">
            <w:pPr>
              <w:rPr>
                <w:color w:val="000000" w:themeColor="text1"/>
              </w:rPr>
            </w:pPr>
            <w:r w:rsidRPr="00061AD2">
              <w:rPr>
                <w:color w:val="000000" w:themeColor="text1"/>
              </w:rPr>
              <w:t xml:space="preserve">2. Ministria e Integrimeve Evropiane (MIE); </w:t>
            </w:r>
          </w:p>
          <w:p w:rsidR="00090EF9" w:rsidRPr="00061AD2" w:rsidRDefault="00090EF9" w:rsidP="00602A19">
            <w:pPr>
              <w:rPr>
                <w:color w:val="000000" w:themeColor="text1"/>
              </w:rPr>
            </w:pPr>
          </w:p>
          <w:p w:rsidR="00090EF9" w:rsidRPr="00061AD2" w:rsidRDefault="00090EF9" w:rsidP="00602A19">
            <w:pPr>
              <w:rPr>
                <w:color w:val="000000" w:themeColor="text1"/>
              </w:rPr>
            </w:pPr>
            <w:r w:rsidRPr="00061AD2">
              <w:rPr>
                <w:color w:val="000000" w:themeColor="text1"/>
              </w:rPr>
              <w:t xml:space="preserve">3. Zyra Ligjore e Kryeministrit (ZKM); </w:t>
            </w:r>
          </w:p>
          <w:p w:rsidR="00090EF9" w:rsidRPr="00061AD2" w:rsidRDefault="00090EF9" w:rsidP="00602A19">
            <w:pPr>
              <w:rPr>
                <w:color w:val="000000" w:themeColor="text1"/>
              </w:rPr>
            </w:pPr>
          </w:p>
          <w:p w:rsidR="00090EF9" w:rsidRPr="00061AD2" w:rsidRDefault="00090EF9" w:rsidP="00602A19">
            <w:pPr>
              <w:rPr>
                <w:color w:val="000000" w:themeColor="text1"/>
              </w:rPr>
            </w:pPr>
            <w:r w:rsidRPr="00061AD2">
              <w:rPr>
                <w:color w:val="000000" w:themeColor="text1"/>
              </w:rPr>
              <w:t xml:space="preserve">4. Ministria Administratës Publike (MAP); </w:t>
            </w:r>
          </w:p>
          <w:p w:rsidR="00090EF9" w:rsidRPr="00061AD2" w:rsidRDefault="00090EF9" w:rsidP="00602A19">
            <w:pPr>
              <w:rPr>
                <w:color w:val="000000" w:themeColor="text1"/>
              </w:rPr>
            </w:pPr>
          </w:p>
          <w:p w:rsidR="00090EF9" w:rsidRPr="00061AD2" w:rsidRDefault="00090EF9" w:rsidP="00602A19">
            <w:pPr>
              <w:rPr>
                <w:color w:val="000000" w:themeColor="text1"/>
              </w:rPr>
            </w:pPr>
            <w:r w:rsidRPr="00061AD2">
              <w:rPr>
                <w:color w:val="000000" w:themeColor="text1"/>
              </w:rPr>
              <w:t xml:space="preserve">5. Ministria e Punëve të Brendshme (MPB); </w:t>
            </w:r>
          </w:p>
          <w:p w:rsidR="00090EF9" w:rsidRPr="00061AD2" w:rsidRDefault="00090EF9" w:rsidP="00602A19">
            <w:pPr>
              <w:rPr>
                <w:color w:val="000000" w:themeColor="text1"/>
              </w:rPr>
            </w:pPr>
          </w:p>
          <w:p w:rsidR="00090EF9" w:rsidRPr="00061AD2" w:rsidRDefault="00090EF9" w:rsidP="00602A19">
            <w:pPr>
              <w:rPr>
                <w:color w:val="000000" w:themeColor="text1"/>
              </w:rPr>
            </w:pPr>
            <w:r w:rsidRPr="00061AD2">
              <w:rPr>
                <w:color w:val="000000" w:themeColor="text1"/>
              </w:rPr>
              <w:t>6. Ministria e Mjedisit dhe Planifikimit Hapësinor (MMPH);</w:t>
            </w:r>
          </w:p>
          <w:p w:rsidR="00090EF9" w:rsidRPr="00061AD2" w:rsidRDefault="00090EF9" w:rsidP="00602A19">
            <w:pPr>
              <w:rPr>
                <w:color w:val="000000" w:themeColor="text1"/>
              </w:rPr>
            </w:pPr>
            <w:r w:rsidRPr="00061AD2">
              <w:rPr>
                <w:color w:val="000000" w:themeColor="text1"/>
              </w:rPr>
              <w:t>7. Ministria e Shëndetësisë (MSH);</w:t>
            </w:r>
          </w:p>
          <w:p w:rsidR="00090EF9" w:rsidRPr="00061AD2" w:rsidRDefault="00090EF9" w:rsidP="00602A19">
            <w:pPr>
              <w:rPr>
                <w:color w:val="000000" w:themeColor="text1"/>
              </w:rPr>
            </w:pPr>
            <w:r w:rsidRPr="00061AD2">
              <w:rPr>
                <w:color w:val="000000" w:themeColor="text1"/>
              </w:rPr>
              <w:t xml:space="preserve">8. Ministria e Tregtisë dhe Industrisë (MTI); </w:t>
            </w:r>
          </w:p>
          <w:p w:rsidR="00090EF9" w:rsidRPr="00061AD2" w:rsidRDefault="00090EF9" w:rsidP="00602A19">
            <w:pPr>
              <w:rPr>
                <w:color w:val="000000" w:themeColor="text1"/>
              </w:rPr>
            </w:pPr>
          </w:p>
          <w:p w:rsidR="00090EF9" w:rsidRPr="00061AD2" w:rsidRDefault="00090EF9" w:rsidP="00602A19">
            <w:pPr>
              <w:rPr>
                <w:color w:val="000000" w:themeColor="text1"/>
              </w:rPr>
            </w:pPr>
            <w:r w:rsidRPr="00061AD2">
              <w:rPr>
                <w:color w:val="000000" w:themeColor="text1"/>
              </w:rPr>
              <w:t>9. Ministria e Administrimit të Pushtetit Lokal (MAPL);</w:t>
            </w:r>
          </w:p>
          <w:p w:rsidR="00090EF9" w:rsidRPr="00061AD2" w:rsidRDefault="00090EF9" w:rsidP="00602A19">
            <w:pPr>
              <w:rPr>
                <w:color w:val="000000" w:themeColor="text1"/>
              </w:rPr>
            </w:pPr>
            <w:r w:rsidRPr="00061AD2">
              <w:rPr>
                <w:color w:val="000000" w:themeColor="text1"/>
              </w:rPr>
              <w:t>10. Ministria e Zhvillimit Ekonomik (MZHE);</w:t>
            </w:r>
          </w:p>
          <w:p w:rsidR="00090EF9" w:rsidRPr="00061AD2" w:rsidRDefault="00090EF9" w:rsidP="00602A19">
            <w:pPr>
              <w:rPr>
                <w:color w:val="000000" w:themeColor="text1"/>
              </w:rPr>
            </w:pPr>
          </w:p>
          <w:p w:rsidR="00090EF9" w:rsidRPr="00061AD2" w:rsidRDefault="00090EF9" w:rsidP="00602A19">
            <w:pPr>
              <w:rPr>
                <w:color w:val="000000" w:themeColor="text1"/>
              </w:rPr>
            </w:pPr>
            <w:r w:rsidRPr="00061AD2">
              <w:rPr>
                <w:color w:val="000000" w:themeColor="text1"/>
              </w:rPr>
              <w:t xml:space="preserve"> 11. Ministria e Bujqësisë, Pylltarisë dhe Zhvillimit Rural (MBPZHR);</w:t>
            </w:r>
          </w:p>
          <w:p w:rsidR="00090EF9" w:rsidRPr="00061AD2" w:rsidRDefault="00090EF9" w:rsidP="00602A19">
            <w:pPr>
              <w:rPr>
                <w:color w:val="000000" w:themeColor="text1"/>
              </w:rPr>
            </w:pPr>
            <w:r w:rsidRPr="00061AD2">
              <w:rPr>
                <w:color w:val="000000" w:themeColor="text1"/>
              </w:rPr>
              <w:t>12. Ministria e Infrastrukturës (MI);</w:t>
            </w:r>
          </w:p>
          <w:p w:rsidR="00090EF9" w:rsidRPr="00061AD2" w:rsidRDefault="00090EF9" w:rsidP="00602A19">
            <w:pPr>
              <w:rPr>
                <w:color w:val="000000" w:themeColor="text1"/>
              </w:rPr>
            </w:pPr>
            <w:r w:rsidRPr="00061AD2">
              <w:rPr>
                <w:color w:val="000000" w:themeColor="text1"/>
              </w:rPr>
              <w:t>13. Ministria e Punës dhe Mirëqenies Sociale (MPMS); dhe</w:t>
            </w:r>
          </w:p>
          <w:p w:rsidR="00090EF9" w:rsidRPr="00061AD2" w:rsidRDefault="00090EF9" w:rsidP="00602A19">
            <w:pPr>
              <w:rPr>
                <w:color w:val="000000" w:themeColor="text1"/>
              </w:rPr>
            </w:pPr>
            <w:r w:rsidRPr="00061AD2">
              <w:rPr>
                <w:color w:val="000000" w:themeColor="text1"/>
              </w:rPr>
              <w:t xml:space="preserve">14. Sekretariati Koordinues (SKQ). </w:t>
            </w:r>
          </w:p>
          <w:p w:rsidR="00090EF9" w:rsidRPr="00090EF9" w:rsidRDefault="00090EF9" w:rsidP="00602A19">
            <w:pPr>
              <w:rPr>
                <w:color w:val="FF0000"/>
              </w:rPr>
            </w:pPr>
          </w:p>
          <w:p w:rsidR="00090EF9" w:rsidRPr="00090EF9" w:rsidRDefault="00090EF9" w:rsidP="00602A19">
            <w:pPr>
              <w:rPr>
                <w:color w:val="FF0000"/>
              </w:rPr>
            </w:pPr>
          </w:p>
          <w:p w:rsidR="00090EF9" w:rsidRPr="005D4C7A" w:rsidRDefault="00090EF9" w:rsidP="008741E7">
            <w:pPr>
              <w:jc w:val="center"/>
              <w:rPr>
                <w:b/>
                <w:bCs/>
              </w:rPr>
            </w:pPr>
            <w:r w:rsidRPr="005D4C7A">
              <w:rPr>
                <w:b/>
                <w:bCs/>
              </w:rPr>
              <w:t>8. Mënyra e komunikimit të politikës së re për publikun</w:t>
            </w:r>
          </w:p>
          <w:p w:rsidR="00090EF9" w:rsidRPr="005D4C7A" w:rsidRDefault="00090EF9" w:rsidP="00090EF9">
            <w:pPr>
              <w:rPr>
                <w:b/>
                <w:bCs/>
              </w:rPr>
            </w:pPr>
          </w:p>
          <w:p w:rsidR="00090EF9" w:rsidRPr="008741E7" w:rsidRDefault="00090EF9" w:rsidP="00090EF9">
            <w:r w:rsidRPr="005D4C7A">
              <w:t>Nuk aplikohet</w:t>
            </w:r>
          </w:p>
          <w:p w:rsidR="00090EF9" w:rsidRPr="005D4C7A" w:rsidRDefault="00090EF9" w:rsidP="008741E7">
            <w:pPr>
              <w:jc w:val="center"/>
              <w:rPr>
                <w:b/>
                <w:bCs/>
              </w:rPr>
            </w:pPr>
            <w:r w:rsidRPr="005D4C7A">
              <w:rPr>
                <w:b/>
                <w:bCs/>
              </w:rPr>
              <w:t>9. Projektvendimi i Qeverisë</w:t>
            </w:r>
          </w:p>
          <w:p w:rsidR="00090EF9" w:rsidRPr="005D4C7A" w:rsidRDefault="00090EF9" w:rsidP="00090EF9"/>
          <w:p w:rsidR="00090EF9" w:rsidRPr="005D4C7A" w:rsidRDefault="00090EF9" w:rsidP="00090EF9">
            <w:pPr>
              <w:rPr>
                <w:b/>
                <w:bCs/>
              </w:rPr>
            </w:pPr>
            <w:r w:rsidRPr="005D4C7A">
              <w:t xml:space="preserve">1. Aprovohet Projektligji </w:t>
            </w:r>
            <w:r w:rsidRPr="005D4C7A">
              <w:rPr>
                <w:bCs/>
              </w:rPr>
              <w:t xml:space="preserve"> p</w:t>
            </w:r>
            <w:r w:rsidRPr="005D4C7A">
              <w:rPr>
                <w:color w:val="000000"/>
              </w:rPr>
              <w:t>ër Ndryshimin dhe Plotësimin e Ligjit Nr. 04/L – 065 për të Drejtat e Autorit.</w:t>
            </w:r>
          </w:p>
          <w:p w:rsidR="00090EF9" w:rsidRDefault="00090EF9" w:rsidP="00090EF9">
            <w:pPr>
              <w:pStyle w:val="NormalWeb"/>
              <w:tabs>
                <w:tab w:val="left" w:pos="252"/>
              </w:tabs>
              <w:autoSpaceDE w:val="0"/>
              <w:autoSpaceDN w:val="0"/>
              <w:rPr>
                <w:rFonts w:ascii="Times New Roman" w:hAnsi="Times New Roman" w:cs="Times New Roman"/>
              </w:rPr>
            </w:pPr>
            <w:r w:rsidRPr="005D4C7A">
              <w:rPr>
                <w:rFonts w:ascii="Times New Roman" w:hAnsi="Times New Roman" w:cs="Times New Roman"/>
              </w:rPr>
              <w:t>2. Obligohet Sekretari i Përgjithshëm i Zyrës së Kryeministrit që Projektligjin nga pika 1. e këtij Vendimi t’ia procedoj për shqyrtim dhe miratim Kuvendit të Republikës së Kosovës.</w:t>
            </w:r>
          </w:p>
          <w:p w:rsidR="008741E7" w:rsidRPr="005D4C7A" w:rsidRDefault="008741E7" w:rsidP="00090EF9">
            <w:pPr>
              <w:pStyle w:val="NormalWeb"/>
              <w:tabs>
                <w:tab w:val="left" w:pos="252"/>
              </w:tabs>
              <w:autoSpaceDE w:val="0"/>
              <w:autoSpaceDN w:val="0"/>
              <w:rPr>
                <w:rFonts w:ascii="Times New Roman" w:hAnsi="Times New Roman" w:cs="Times New Roman"/>
              </w:rPr>
            </w:pPr>
          </w:p>
          <w:p w:rsidR="00090EF9" w:rsidRPr="005D4C7A" w:rsidRDefault="00090EF9" w:rsidP="00090EF9">
            <w:pPr>
              <w:pStyle w:val="NormalWeb"/>
              <w:autoSpaceDE w:val="0"/>
              <w:autoSpaceDN w:val="0"/>
              <w:rPr>
                <w:rFonts w:ascii="Times New Roman" w:hAnsi="Times New Roman" w:cs="Times New Roman"/>
              </w:rPr>
            </w:pPr>
            <w:r w:rsidRPr="005D4C7A">
              <w:rPr>
                <w:rFonts w:ascii="Times New Roman" w:hAnsi="Times New Roman" w:cs="Times New Roman"/>
              </w:rPr>
              <w:t>3. Vendimi hyn në fuqi ditën e nënshkrimit.</w:t>
            </w:r>
          </w:p>
          <w:p w:rsidR="00090EF9" w:rsidRPr="00090EF9" w:rsidRDefault="00090EF9" w:rsidP="00602A19">
            <w:pPr>
              <w:rPr>
                <w:color w:val="FF0000"/>
              </w:rPr>
            </w:pPr>
          </w:p>
          <w:p w:rsidR="00090EF9" w:rsidRPr="00503F27" w:rsidRDefault="00090EF9" w:rsidP="00602A19">
            <w:pPr>
              <w:rPr>
                <w:b/>
                <w:bCs/>
              </w:rPr>
            </w:pPr>
          </w:p>
          <w:p w:rsidR="00090EF9" w:rsidRPr="00503F27" w:rsidRDefault="00090EF9" w:rsidP="00602A19">
            <w:pPr>
              <w:pStyle w:val="NormalWeb"/>
              <w:tabs>
                <w:tab w:val="left" w:pos="252"/>
              </w:tabs>
              <w:autoSpaceDE w:val="0"/>
              <w:autoSpaceDN w:val="0"/>
              <w:spacing w:before="0" w:beforeAutospacing="0" w:after="0" w:afterAutospacing="0"/>
              <w:contextualSpacing/>
              <w:rPr>
                <w:rFonts w:ascii="Times New Roman" w:hAnsi="Times New Roman" w:cs="Times New Roman"/>
              </w:rPr>
            </w:pPr>
          </w:p>
          <w:p w:rsidR="00090EF9" w:rsidRPr="00503F27" w:rsidRDefault="00090EF9" w:rsidP="00602A19">
            <w:pPr>
              <w:autoSpaceDE w:val="0"/>
              <w:autoSpaceDN w:val="0"/>
              <w:adjustRightInd w:val="0"/>
              <w:rPr>
                <w:b/>
                <w:bCs/>
              </w:rPr>
            </w:pPr>
          </w:p>
        </w:tc>
        <w:tc>
          <w:tcPr>
            <w:tcW w:w="4512" w:type="dxa"/>
          </w:tcPr>
          <w:p w:rsidR="00090EF9" w:rsidRDefault="00090EF9" w:rsidP="00090EF9">
            <w:pPr>
              <w:jc w:val="center"/>
              <w:rPr>
                <w:b/>
              </w:rPr>
            </w:pPr>
          </w:p>
          <w:p w:rsidR="00090EF9" w:rsidRDefault="00090EF9" w:rsidP="00090EF9">
            <w:pPr>
              <w:jc w:val="center"/>
              <w:rPr>
                <w:b/>
              </w:rPr>
            </w:pPr>
            <w:r w:rsidRPr="005D4C7A">
              <w:rPr>
                <w:b/>
              </w:rPr>
              <w:t>EXPLANATORY MEMORANDUM OF THE DRAFT LAW ON AMENDING AND SUPPLEMENTING  THE LAW NO. 04 / L – 065 ON COPYRIGHTS AND RELATED RIGHTS</w:t>
            </w:r>
          </w:p>
          <w:p w:rsidR="00090EF9" w:rsidRDefault="00090EF9" w:rsidP="00090EF9">
            <w:pPr>
              <w:jc w:val="center"/>
              <w:rPr>
                <w:b/>
              </w:rPr>
            </w:pPr>
          </w:p>
          <w:p w:rsidR="00090EF9" w:rsidRPr="005D4C7A" w:rsidRDefault="00090EF9" w:rsidP="00090EF9">
            <w:pPr>
              <w:jc w:val="center"/>
              <w:rPr>
                <w:b/>
              </w:rPr>
            </w:pPr>
          </w:p>
          <w:p w:rsidR="00090EF9" w:rsidRPr="005D4C7A" w:rsidRDefault="00090EF9" w:rsidP="00090EF9">
            <w:pPr>
              <w:shd w:val="clear" w:color="auto" w:fill="FFFFFF"/>
              <w:tabs>
                <w:tab w:val="left" w:pos="672"/>
              </w:tabs>
              <w:jc w:val="center"/>
              <w:rPr>
                <w:b/>
                <w:bCs/>
                <w:lang w:val="en-GB"/>
              </w:rPr>
            </w:pPr>
            <w:r w:rsidRPr="005D4C7A">
              <w:rPr>
                <w:b/>
                <w:bCs/>
                <w:lang w:val="en-GB"/>
              </w:rPr>
              <w:t>1. The main issue addressed</w:t>
            </w:r>
          </w:p>
          <w:p w:rsidR="00090EF9" w:rsidRPr="005D4C7A" w:rsidRDefault="00090EF9" w:rsidP="00090EF9">
            <w:pPr>
              <w:rPr>
                <w:lang w:val="en-GB"/>
              </w:rPr>
            </w:pPr>
          </w:p>
          <w:p w:rsidR="00090EF9" w:rsidRPr="00090EF9" w:rsidRDefault="00090EF9" w:rsidP="00B7542D">
            <w:pPr>
              <w:shd w:val="clear" w:color="auto" w:fill="FFFFFF"/>
              <w:tabs>
                <w:tab w:val="left" w:pos="672"/>
              </w:tabs>
              <w:jc w:val="both"/>
              <w:rPr>
                <w:bCs/>
                <w:color w:val="000000"/>
                <w:lang w:val="en-GB" w:eastAsia="ja-JP"/>
              </w:rPr>
            </w:pPr>
            <w:r w:rsidRPr="005D4C7A">
              <w:rPr>
                <w:bCs/>
                <w:color w:val="000000"/>
                <w:lang w:val="en-GB" w:eastAsia="ja-JP"/>
              </w:rPr>
              <w:t xml:space="preserve">Effective drafting and enforcement of relevant legislation and standards in the function of conservation and protection of cultural heritage remains an important priority of policy makers, policy proposers and legislation in this field. Therefore, because the Republic of Kosovo is in a constant process of reforming the legislation, the Law no. 05/L </w:t>
            </w:r>
            <w:r w:rsidRPr="005D4C7A">
              <w:rPr>
                <w:bCs/>
                <w:color w:val="000000"/>
                <w:lang w:eastAsia="ja-JP"/>
              </w:rPr>
              <w:t>–</w:t>
            </w:r>
            <w:r w:rsidRPr="005D4C7A">
              <w:rPr>
                <w:bCs/>
                <w:color w:val="000000"/>
                <w:lang w:val="en-GB" w:eastAsia="ja-JP"/>
              </w:rPr>
              <w:t xml:space="preserve"> 087 on Minor Offenses, which presents obligations to the respective institutions to initiate legislative procedures and initiatives with which current provisions of the legislation in force foresee that minor offenses or sanctions of a minor offence nature that are inconsistent with this Law are harmonized within one year. In this way, the Ministry of Culture, Youth and Sports, through the sponsorship of the Draft Law no. 06/L </w:t>
            </w:r>
            <w:r w:rsidRPr="005D4C7A">
              <w:rPr>
                <w:bCs/>
                <w:color w:val="000000"/>
                <w:lang w:eastAsia="ja-JP"/>
              </w:rPr>
              <w:t>–</w:t>
            </w:r>
            <w:r w:rsidRPr="005D4C7A">
              <w:rPr>
                <w:bCs/>
                <w:color w:val="000000"/>
                <w:lang w:val="en-GB" w:eastAsia="ja-JP"/>
              </w:rPr>
              <w:t xml:space="preserve"> XX on Amending and Supplementing the Law no. 04/L - 065 on Copyright, also fulfils an obligation of the Government of the Republic of Kosovo that the harmonization process to be completed and to create conditions for efficient implementation of the new regulated system for minor offenses and sanctions by Law no. 05/L </w:t>
            </w:r>
            <w:r w:rsidRPr="005D4C7A">
              <w:rPr>
                <w:bCs/>
                <w:color w:val="000000"/>
                <w:lang w:eastAsia="ja-JP"/>
              </w:rPr>
              <w:t xml:space="preserve">– </w:t>
            </w:r>
            <w:r w:rsidRPr="005D4C7A">
              <w:rPr>
                <w:bCs/>
                <w:color w:val="000000"/>
                <w:lang w:val="en-GB" w:eastAsia="ja-JP"/>
              </w:rPr>
              <w:t>087 on Minor Offenses also in the field of Copyright.</w:t>
            </w:r>
          </w:p>
          <w:p w:rsidR="00090EF9" w:rsidRPr="005D4C7A" w:rsidRDefault="00090EF9" w:rsidP="00090EF9">
            <w:pPr>
              <w:shd w:val="clear" w:color="auto" w:fill="FFFFFF"/>
              <w:tabs>
                <w:tab w:val="left" w:pos="672"/>
              </w:tabs>
              <w:rPr>
                <w:b/>
                <w:color w:val="000000"/>
                <w:lang w:val="en-GB" w:eastAsia="ja-JP"/>
              </w:rPr>
            </w:pPr>
          </w:p>
          <w:p w:rsidR="00090EF9" w:rsidRPr="005D4C7A" w:rsidRDefault="00090EF9" w:rsidP="00090EF9">
            <w:pPr>
              <w:shd w:val="clear" w:color="auto" w:fill="FFFFFF"/>
              <w:tabs>
                <w:tab w:val="left" w:pos="672"/>
              </w:tabs>
              <w:rPr>
                <w:b/>
                <w:color w:val="000000"/>
                <w:lang w:val="en-GB" w:eastAsia="ja-JP"/>
              </w:rPr>
            </w:pPr>
            <w:r w:rsidRPr="005D4C7A">
              <w:rPr>
                <w:b/>
                <w:color w:val="000000"/>
                <w:lang w:val="en-GB" w:eastAsia="ja-JP"/>
              </w:rPr>
              <w:t>2. Objectives and their link with the priorities of the Government;</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B7542D">
            <w:pPr>
              <w:shd w:val="clear" w:color="auto" w:fill="FFFFFF"/>
              <w:tabs>
                <w:tab w:val="left" w:pos="672"/>
              </w:tabs>
              <w:jc w:val="both"/>
              <w:rPr>
                <w:bCs/>
                <w:color w:val="000000"/>
                <w:lang w:val="en-GB" w:eastAsia="ja-JP"/>
              </w:rPr>
            </w:pPr>
            <w:r w:rsidRPr="005D4C7A">
              <w:rPr>
                <w:bCs/>
                <w:color w:val="000000"/>
                <w:lang w:val="en-GB" w:eastAsia="ja-JP"/>
              </w:rPr>
              <w:t xml:space="preserve">Copyright </w:t>
            </w:r>
            <w:r w:rsidRPr="005D4C7A">
              <w:rPr>
                <w:bCs/>
                <w:lang w:val="en-GB"/>
              </w:rPr>
              <w:t xml:space="preserve">in the Republic of Kosovo is treated as a priority in the framework of institutional and legislative organization with a view to achieving the continuous consolidation of a sustainable system </w:t>
            </w:r>
            <w:r w:rsidRPr="005D4C7A">
              <w:rPr>
                <w:bCs/>
                <w:color w:val="000000"/>
                <w:lang w:val="en-GB" w:eastAsia="ja-JP"/>
              </w:rPr>
              <w:t>of copyright and related rights.</w:t>
            </w:r>
          </w:p>
          <w:p w:rsidR="00090EF9" w:rsidRPr="005D4C7A" w:rsidRDefault="00090EF9" w:rsidP="00B7542D">
            <w:pPr>
              <w:shd w:val="clear" w:color="auto" w:fill="FFFFFF"/>
              <w:tabs>
                <w:tab w:val="left" w:pos="672"/>
              </w:tabs>
              <w:jc w:val="both"/>
              <w:rPr>
                <w:color w:val="000000"/>
                <w:lang w:val="en-GB" w:eastAsia="ja-JP"/>
              </w:rPr>
            </w:pPr>
          </w:p>
          <w:p w:rsidR="00090EF9" w:rsidRPr="005D4C7A" w:rsidRDefault="00090EF9" w:rsidP="00B7542D">
            <w:pPr>
              <w:shd w:val="clear" w:color="auto" w:fill="FFFFFF"/>
              <w:tabs>
                <w:tab w:val="left" w:pos="672"/>
              </w:tabs>
              <w:jc w:val="both"/>
              <w:rPr>
                <w:bCs/>
                <w:lang w:val="en-GB"/>
              </w:rPr>
            </w:pPr>
            <w:r w:rsidRPr="005D4C7A">
              <w:rPr>
                <w:bCs/>
                <w:lang w:val="en-GB"/>
              </w:rPr>
              <w:t xml:space="preserve">The Government of the Republic of Kosovo, in its 2017-2021 Program, page 12, item four (4), has as its objective, inter alia, the improvement of the system of planning and coordination of policies and legislation. In this regard, the harmonization of </w:t>
            </w:r>
            <w:proofErr w:type="spellStart"/>
            <w:r w:rsidRPr="005D4C7A">
              <w:rPr>
                <w:bCs/>
                <w:lang w:val="en-GB"/>
              </w:rPr>
              <w:t>sectoral</w:t>
            </w:r>
            <w:proofErr w:type="spellEnd"/>
            <w:r w:rsidRPr="005D4C7A">
              <w:rPr>
                <w:bCs/>
                <w:lang w:val="en-GB"/>
              </w:rPr>
              <w:t xml:space="preserve"> and systemic legislation is a prerequisite for ensuring the effective implementation of the Law in the spirit of good governance standards, equality before the law, legal certainty and respect of human rights and fundamental freedoms.</w:t>
            </w:r>
          </w:p>
          <w:p w:rsidR="00090EF9" w:rsidRPr="005D4C7A" w:rsidRDefault="00090EF9" w:rsidP="00B7542D">
            <w:pPr>
              <w:shd w:val="clear" w:color="auto" w:fill="FFFFFF"/>
              <w:tabs>
                <w:tab w:val="left" w:pos="672"/>
              </w:tabs>
              <w:jc w:val="both"/>
              <w:rPr>
                <w:color w:val="000000"/>
                <w:lang w:val="en-GB" w:eastAsia="ja-JP"/>
              </w:rPr>
            </w:pPr>
          </w:p>
          <w:p w:rsidR="00090EF9" w:rsidRPr="005D4C7A" w:rsidRDefault="00090EF9" w:rsidP="00B7542D">
            <w:pPr>
              <w:shd w:val="clear" w:color="auto" w:fill="FFFFFF"/>
              <w:tabs>
                <w:tab w:val="left" w:pos="672"/>
              </w:tabs>
              <w:jc w:val="both"/>
              <w:rPr>
                <w:color w:val="000000"/>
                <w:lang w:val="en-GB" w:eastAsia="ja-JP"/>
              </w:rPr>
            </w:pPr>
            <w:r w:rsidRPr="005D4C7A">
              <w:rPr>
                <w:color w:val="000000"/>
                <w:lang w:val="en-GB" w:eastAsia="ja-JP"/>
              </w:rPr>
              <w:t>Today's decision by the Government of the Republic of Kosovo also expresses the implementation of the strategic objective. Completion of legislation, harmonization of the Law and legal acts with the Copyright and other laws of Kosovo.</w:t>
            </w:r>
          </w:p>
          <w:p w:rsidR="00090EF9" w:rsidRPr="005D4C7A" w:rsidRDefault="00090EF9" w:rsidP="00B7542D">
            <w:pPr>
              <w:shd w:val="clear" w:color="auto" w:fill="FFFFFF"/>
              <w:tabs>
                <w:tab w:val="left" w:pos="672"/>
              </w:tabs>
              <w:jc w:val="both"/>
              <w:rPr>
                <w:bCs/>
                <w:lang w:val="en-GB"/>
              </w:rPr>
            </w:pPr>
            <w:r w:rsidRPr="005D4C7A">
              <w:rPr>
                <w:bCs/>
                <w:lang w:val="en-GB"/>
              </w:rPr>
              <w:t>The same commitment was expressed as a strategic orientation in the part of the Government Program of the Republic of Kosovo, on page 53, item 5.</w:t>
            </w:r>
          </w:p>
          <w:p w:rsidR="00090EF9" w:rsidRPr="005D4C7A" w:rsidRDefault="00090EF9" w:rsidP="00B7542D">
            <w:pPr>
              <w:shd w:val="clear" w:color="auto" w:fill="FFFFFF"/>
              <w:tabs>
                <w:tab w:val="left" w:pos="672"/>
              </w:tabs>
              <w:jc w:val="both"/>
              <w:rPr>
                <w:bCs/>
                <w:lang w:val="en-GB"/>
              </w:rPr>
            </w:pPr>
            <w:r w:rsidRPr="005D4C7A">
              <w:rPr>
                <w:bCs/>
                <w:lang w:val="en-GB"/>
              </w:rPr>
              <w:t>The proposed draft law should reflect these standards, policies and strategic definitions of the Government of the Republic of Kosovo, the Ministry of Culture, Youth and Sports within the frame of the commitments stemming from constitutional and legal obligations under the mandate specified.</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jc w:val="center"/>
              <w:rPr>
                <w:b/>
                <w:color w:val="000000"/>
                <w:lang w:val="en-GB" w:eastAsia="ja-JP"/>
              </w:rPr>
            </w:pPr>
            <w:r w:rsidRPr="005D4C7A">
              <w:rPr>
                <w:b/>
                <w:color w:val="000000"/>
                <w:lang w:val="en-GB" w:eastAsia="ja-JP"/>
              </w:rPr>
              <w:t>3. Recommended option</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D374FE">
            <w:pPr>
              <w:shd w:val="clear" w:color="auto" w:fill="FFFFFF"/>
              <w:tabs>
                <w:tab w:val="left" w:pos="672"/>
              </w:tabs>
              <w:jc w:val="both"/>
              <w:rPr>
                <w:color w:val="000000"/>
                <w:lang w:val="en-GB" w:eastAsia="ja-JP"/>
              </w:rPr>
            </w:pPr>
            <w:r w:rsidRPr="005D4C7A">
              <w:rPr>
                <w:bCs/>
                <w:lang w:val="en-GB"/>
              </w:rPr>
              <w:t xml:space="preserve">From the possible solutions and options was discussed the option  of drafting the Draft Law to enable harmonization of the provisions of the Law no. </w:t>
            </w:r>
            <w:r w:rsidRPr="005D4C7A">
              <w:rPr>
                <w:color w:val="000000"/>
                <w:lang w:val="en-GB" w:eastAsia="ja-JP"/>
              </w:rPr>
              <w:t>04/L - 065 on Copyright with the relevant provisions of Law no. 05 / L - 087 on Minor Offenses.</w:t>
            </w:r>
          </w:p>
          <w:p w:rsidR="00090EF9" w:rsidRPr="005D4C7A" w:rsidRDefault="00090EF9" w:rsidP="00090EF9">
            <w:pPr>
              <w:shd w:val="clear" w:color="auto" w:fill="FFFFFF"/>
              <w:tabs>
                <w:tab w:val="left" w:pos="672"/>
              </w:tabs>
              <w:rPr>
                <w:color w:val="000000"/>
                <w:lang w:val="en-GB" w:eastAsia="ja-JP"/>
              </w:rPr>
            </w:pPr>
          </w:p>
          <w:p w:rsidR="00090EF9" w:rsidRDefault="00090EF9" w:rsidP="00090EF9">
            <w:pPr>
              <w:shd w:val="clear" w:color="auto" w:fill="FFFFFF"/>
              <w:tabs>
                <w:tab w:val="left" w:pos="672"/>
              </w:tabs>
              <w:rPr>
                <w:b/>
                <w:color w:val="000000"/>
                <w:lang w:val="en-GB" w:eastAsia="ja-JP"/>
              </w:rPr>
            </w:pPr>
          </w:p>
          <w:p w:rsidR="00D374FE" w:rsidRPr="005D4C7A" w:rsidRDefault="00D374FE" w:rsidP="00090EF9">
            <w:pPr>
              <w:shd w:val="clear" w:color="auto" w:fill="FFFFFF"/>
              <w:tabs>
                <w:tab w:val="left" w:pos="672"/>
              </w:tabs>
              <w:rPr>
                <w:b/>
                <w:color w:val="000000"/>
                <w:lang w:val="en-GB" w:eastAsia="ja-JP"/>
              </w:rPr>
            </w:pPr>
          </w:p>
          <w:p w:rsidR="00090EF9" w:rsidRPr="005D4C7A" w:rsidRDefault="00090EF9" w:rsidP="00090EF9">
            <w:pPr>
              <w:shd w:val="clear" w:color="auto" w:fill="FFFFFF"/>
              <w:tabs>
                <w:tab w:val="left" w:pos="672"/>
              </w:tabs>
              <w:jc w:val="center"/>
              <w:rPr>
                <w:b/>
                <w:color w:val="000000"/>
                <w:lang w:val="en-GB" w:eastAsia="ja-JP"/>
              </w:rPr>
            </w:pPr>
            <w:r w:rsidRPr="005D4C7A">
              <w:rPr>
                <w:b/>
                <w:color w:val="000000"/>
                <w:lang w:val="en-GB" w:eastAsia="ja-JP"/>
              </w:rPr>
              <w:t>4. Reasoning of the proposal, including an explanation of the level of approximation with EU legislation</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rPr>
                <w:color w:val="000000"/>
                <w:lang w:val="en-GB" w:eastAsia="ja-JP"/>
              </w:rPr>
            </w:pPr>
            <w:r w:rsidRPr="005D4C7A">
              <w:rPr>
                <w:bCs/>
                <w:lang w:val="en-GB"/>
              </w:rPr>
              <w:t>Not applicable</w:t>
            </w:r>
            <w:r w:rsidRPr="005D4C7A">
              <w:rPr>
                <w:color w:val="000000"/>
                <w:lang w:val="en-GB" w:eastAsia="ja-JP"/>
              </w:rPr>
              <w:t>.</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autoSpaceDE w:val="0"/>
              <w:autoSpaceDN w:val="0"/>
              <w:adjustRightInd w:val="0"/>
              <w:jc w:val="center"/>
              <w:rPr>
                <w:b/>
                <w:bCs/>
                <w:lang w:val="en-GB"/>
              </w:rPr>
            </w:pPr>
            <w:r w:rsidRPr="005D4C7A">
              <w:rPr>
                <w:b/>
                <w:color w:val="000000"/>
                <w:lang w:val="en-GB" w:eastAsia="ja-JP"/>
              </w:rPr>
              <w:t xml:space="preserve">5. </w:t>
            </w:r>
            <w:r w:rsidRPr="005D4C7A">
              <w:rPr>
                <w:b/>
                <w:bCs/>
                <w:lang w:val="en-GB"/>
              </w:rPr>
              <w:t>The main elements of the proposed legislation or policy (content,</w:t>
            </w:r>
          </w:p>
          <w:p w:rsidR="00090EF9" w:rsidRPr="00D374FE" w:rsidRDefault="00090EF9" w:rsidP="00D374FE">
            <w:pPr>
              <w:autoSpaceDE w:val="0"/>
              <w:autoSpaceDN w:val="0"/>
              <w:adjustRightInd w:val="0"/>
              <w:jc w:val="center"/>
              <w:rPr>
                <w:b/>
                <w:bCs/>
                <w:lang w:val="en-GB"/>
              </w:rPr>
            </w:pPr>
            <w:r w:rsidRPr="005D4C7A">
              <w:rPr>
                <w:b/>
                <w:bCs/>
                <w:lang w:val="en-GB"/>
              </w:rPr>
              <w:t>policy instruments, cost, administrative procedures)</w:t>
            </w:r>
          </w:p>
          <w:p w:rsidR="00090EF9" w:rsidRPr="005D4C7A" w:rsidRDefault="00090EF9" w:rsidP="00D374FE">
            <w:pPr>
              <w:shd w:val="clear" w:color="auto" w:fill="FFFFFF"/>
              <w:tabs>
                <w:tab w:val="left" w:pos="672"/>
              </w:tabs>
              <w:jc w:val="both"/>
              <w:rPr>
                <w:color w:val="000000"/>
                <w:lang w:val="en-GB" w:eastAsia="ja-JP"/>
              </w:rPr>
            </w:pPr>
            <w:r w:rsidRPr="005D4C7A">
              <w:rPr>
                <w:color w:val="000000"/>
                <w:lang w:val="en-GB" w:eastAsia="ja-JP"/>
              </w:rPr>
              <w:t>With this Draft Law, the Law no. 04 / L - 065 on Copyright, through which the provisions containing the offense proceedings, measures or sanctions are harmonized with Law no. 05 / L - 087 on Minor Offenses.</w:t>
            </w:r>
          </w:p>
          <w:p w:rsidR="00090EF9" w:rsidRPr="005D4C7A" w:rsidRDefault="00090EF9" w:rsidP="00D374FE">
            <w:pPr>
              <w:autoSpaceDE w:val="0"/>
              <w:autoSpaceDN w:val="0"/>
              <w:adjustRightInd w:val="0"/>
              <w:jc w:val="both"/>
              <w:rPr>
                <w:bCs/>
                <w:lang w:val="en-GB"/>
              </w:rPr>
            </w:pPr>
            <w:r w:rsidRPr="005D4C7A">
              <w:rPr>
                <w:bCs/>
                <w:lang w:val="en-GB"/>
              </w:rPr>
              <w:t>Through this draft law are harmonized the amounts of fines at the minimum and maximum limit, the conditions when the sanction may duplicate authority the competent public for the imposition of fines the rights to claim compensation for damages as well as the respective procedures related to the rights in the exercise of legal remedies.</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8741E7">
            <w:pPr>
              <w:shd w:val="clear" w:color="auto" w:fill="FFFFFF"/>
              <w:tabs>
                <w:tab w:val="left" w:pos="672"/>
              </w:tabs>
              <w:jc w:val="center"/>
              <w:rPr>
                <w:b/>
                <w:color w:val="000000"/>
                <w:lang w:val="en-GB" w:eastAsia="ja-JP"/>
              </w:rPr>
            </w:pPr>
            <w:r w:rsidRPr="005D4C7A">
              <w:rPr>
                <w:b/>
                <w:color w:val="000000"/>
                <w:lang w:val="en-GB" w:eastAsia="ja-JP"/>
              </w:rPr>
              <w:t>6.</w:t>
            </w:r>
            <w:r w:rsidRPr="005D4C7A">
              <w:rPr>
                <w:color w:val="000000"/>
                <w:lang w:val="en-GB" w:eastAsia="ja-JP"/>
              </w:rPr>
              <w:t xml:space="preserve"> </w:t>
            </w:r>
            <w:r w:rsidRPr="005D4C7A">
              <w:rPr>
                <w:b/>
                <w:color w:val="000000"/>
                <w:lang w:val="en-GB" w:eastAsia="ja-JP"/>
              </w:rPr>
              <w:t>Assessing the Financial Impact of the Draft Law</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D374FE">
            <w:pPr>
              <w:shd w:val="clear" w:color="auto" w:fill="FFFFFF"/>
              <w:tabs>
                <w:tab w:val="left" w:pos="672"/>
              </w:tabs>
              <w:jc w:val="both"/>
              <w:rPr>
                <w:color w:val="000000"/>
                <w:lang w:val="en-GB" w:eastAsia="ja-JP"/>
              </w:rPr>
            </w:pPr>
            <w:r w:rsidRPr="005D4C7A">
              <w:rPr>
                <w:color w:val="000000"/>
                <w:lang w:val="en-GB" w:eastAsia="ja-JP"/>
              </w:rPr>
              <w:t>All possible financial impacts for this bill are part of the current budget allocations of the Ministry of Culture, Youth and Sports.</w:t>
            </w:r>
          </w:p>
          <w:p w:rsidR="00090EF9" w:rsidRDefault="00090EF9" w:rsidP="00090EF9">
            <w:pPr>
              <w:shd w:val="clear" w:color="auto" w:fill="FFFFFF"/>
              <w:tabs>
                <w:tab w:val="left" w:pos="672"/>
              </w:tabs>
              <w:rPr>
                <w:color w:val="000000"/>
                <w:lang w:val="en-GB" w:eastAsia="ja-JP"/>
              </w:rPr>
            </w:pPr>
          </w:p>
          <w:p w:rsidR="008741E7" w:rsidRDefault="008741E7" w:rsidP="00090EF9">
            <w:pPr>
              <w:shd w:val="clear" w:color="auto" w:fill="FFFFFF"/>
              <w:tabs>
                <w:tab w:val="left" w:pos="672"/>
              </w:tabs>
              <w:rPr>
                <w:color w:val="000000"/>
                <w:lang w:val="en-GB" w:eastAsia="ja-JP"/>
              </w:rPr>
            </w:pPr>
          </w:p>
          <w:p w:rsidR="008741E7" w:rsidRPr="005D4C7A" w:rsidRDefault="008741E7" w:rsidP="00090EF9">
            <w:pPr>
              <w:shd w:val="clear" w:color="auto" w:fill="FFFFFF"/>
              <w:tabs>
                <w:tab w:val="left" w:pos="672"/>
              </w:tabs>
              <w:rPr>
                <w:color w:val="000000"/>
                <w:lang w:val="en-GB" w:eastAsia="ja-JP"/>
              </w:rPr>
            </w:pPr>
          </w:p>
          <w:p w:rsidR="00090EF9" w:rsidRPr="005D4C7A" w:rsidRDefault="00090EF9" w:rsidP="00090EF9">
            <w:pPr>
              <w:shd w:val="clear" w:color="auto" w:fill="FFFFFF"/>
              <w:tabs>
                <w:tab w:val="left" w:pos="672"/>
              </w:tabs>
              <w:jc w:val="center"/>
              <w:rPr>
                <w:b/>
                <w:color w:val="000000"/>
                <w:lang w:val="en-GB" w:eastAsia="ja-JP"/>
              </w:rPr>
            </w:pPr>
            <w:r w:rsidRPr="005D4C7A">
              <w:rPr>
                <w:b/>
                <w:color w:val="000000"/>
                <w:lang w:val="en-GB" w:eastAsia="ja-JP"/>
              </w:rPr>
              <w:t>7. Consultation (who is consulted and short responses)</w:t>
            </w:r>
          </w:p>
          <w:p w:rsidR="00090EF9" w:rsidRPr="005D4C7A" w:rsidRDefault="00090EF9" w:rsidP="00090EF9">
            <w:pPr>
              <w:shd w:val="clear" w:color="auto" w:fill="FFFFFF"/>
              <w:tabs>
                <w:tab w:val="left" w:pos="672"/>
              </w:tabs>
              <w:rPr>
                <w:color w:val="000000"/>
                <w:lang w:val="en-GB" w:eastAsia="ja-JP"/>
              </w:rPr>
            </w:pPr>
          </w:p>
          <w:p w:rsidR="00090EF9" w:rsidRPr="005D4C7A" w:rsidRDefault="00090EF9" w:rsidP="00142FC6">
            <w:pPr>
              <w:shd w:val="clear" w:color="auto" w:fill="FFFFFF"/>
              <w:tabs>
                <w:tab w:val="left" w:pos="672"/>
              </w:tabs>
              <w:jc w:val="both"/>
              <w:rPr>
                <w:color w:val="000000"/>
                <w:lang w:val="en-GB" w:eastAsia="ja-JP"/>
              </w:rPr>
            </w:pPr>
            <w:r w:rsidRPr="005D4C7A">
              <w:rPr>
                <w:color w:val="000000"/>
                <w:lang w:val="en-GB" w:eastAsia="ja-JP"/>
              </w:rPr>
              <w:t>During the drafting process of the Draft Law, consultations were conducted with professional employees and officials of institutions and organizational units responsible for exercising duties and mandates in the field of Copyright.</w:t>
            </w:r>
          </w:p>
          <w:p w:rsidR="00090EF9" w:rsidRPr="005D4C7A" w:rsidRDefault="00090EF9" w:rsidP="00142FC6">
            <w:pPr>
              <w:autoSpaceDE w:val="0"/>
              <w:autoSpaceDN w:val="0"/>
              <w:adjustRightInd w:val="0"/>
              <w:jc w:val="both"/>
              <w:rPr>
                <w:bCs/>
                <w:lang w:val="en-GB"/>
              </w:rPr>
            </w:pPr>
            <w:r w:rsidRPr="005D4C7A">
              <w:rPr>
                <w:bCs/>
                <w:lang w:val="en-GB"/>
              </w:rPr>
              <w:t>This draft law was sent for public consultations to other institutions according to the list were consulted these institutions:</w:t>
            </w:r>
          </w:p>
          <w:p w:rsidR="00090EF9" w:rsidRPr="00503F27" w:rsidRDefault="00090EF9" w:rsidP="00602A19">
            <w:pPr>
              <w:autoSpaceDE w:val="0"/>
              <w:autoSpaceDN w:val="0"/>
              <w:adjustRightInd w:val="0"/>
              <w:rPr>
                <w:bCs/>
                <w:lang w:val="en-GB"/>
              </w:rPr>
            </w:pPr>
          </w:p>
          <w:p w:rsidR="00090EF9" w:rsidRPr="00090EF9" w:rsidRDefault="00090EF9" w:rsidP="00602A19">
            <w:pPr>
              <w:autoSpaceDE w:val="0"/>
              <w:autoSpaceDN w:val="0"/>
              <w:adjustRightInd w:val="0"/>
              <w:rPr>
                <w:bCs/>
                <w:color w:val="FF0000"/>
                <w:lang w:val="en-GB"/>
              </w:rPr>
            </w:pP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1. Ministry of Finance (</w:t>
            </w:r>
            <w:proofErr w:type="spellStart"/>
            <w:r w:rsidRPr="00061AD2">
              <w:rPr>
                <w:bCs/>
                <w:color w:val="000000" w:themeColor="text1"/>
                <w:lang w:val="en-GB"/>
              </w:rPr>
              <w:t>MoF</w:t>
            </w:r>
            <w:proofErr w:type="spellEnd"/>
            <w:r w:rsidRPr="00061AD2">
              <w:rPr>
                <w:bCs/>
                <w:color w:val="000000" w:themeColor="text1"/>
                <w:lang w:val="en-GB"/>
              </w:rPr>
              <w:t>);</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2. Ministry of European Integration (MEI);</w:t>
            </w:r>
          </w:p>
          <w:p w:rsidR="00090EF9" w:rsidRPr="00061AD2" w:rsidRDefault="00090EF9" w:rsidP="00602A19">
            <w:pPr>
              <w:autoSpaceDE w:val="0"/>
              <w:autoSpaceDN w:val="0"/>
              <w:adjustRightInd w:val="0"/>
              <w:rPr>
                <w:bCs/>
                <w:color w:val="000000" w:themeColor="text1"/>
                <w:lang w:val="en-GB"/>
              </w:rPr>
            </w:pP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 xml:space="preserve"> 3. Legal Office of the Prime Minister (OPM);</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4. Ministry of Public Administration (MPA);</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 xml:space="preserve">5. Ministry of Internal Affairs (MIA); </w:t>
            </w:r>
          </w:p>
          <w:p w:rsidR="00090EF9" w:rsidRPr="00061AD2" w:rsidRDefault="00090EF9" w:rsidP="00602A19">
            <w:pPr>
              <w:autoSpaceDE w:val="0"/>
              <w:autoSpaceDN w:val="0"/>
              <w:adjustRightInd w:val="0"/>
              <w:rPr>
                <w:bCs/>
                <w:color w:val="000000" w:themeColor="text1"/>
                <w:lang w:val="en-GB"/>
              </w:rPr>
            </w:pP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6. Ministry of Environment and Spatial Planning (MESP) ;</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7. Ministry of Health (</w:t>
            </w:r>
            <w:proofErr w:type="spellStart"/>
            <w:r w:rsidRPr="00061AD2">
              <w:rPr>
                <w:bCs/>
                <w:color w:val="000000" w:themeColor="text1"/>
                <w:lang w:val="en-GB"/>
              </w:rPr>
              <w:t>MoH</w:t>
            </w:r>
            <w:proofErr w:type="spellEnd"/>
            <w:r w:rsidRPr="00061AD2">
              <w:rPr>
                <w:bCs/>
                <w:color w:val="000000" w:themeColor="text1"/>
                <w:lang w:val="en-GB"/>
              </w:rPr>
              <w:t>);</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 xml:space="preserve">8. Ministry of Trade and Industry (MTI); </w:t>
            </w:r>
          </w:p>
          <w:p w:rsidR="00090EF9" w:rsidRPr="00061AD2" w:rsidRDefault="00090EF9" w:rsidP="00602A19">
            <w:pPr>
              <w:autoSpaceDE w:val="0"/>
              <w:autoSpaceDN w:val="0"/>
              <w:adjustRightInd w:val="0"/>
              <w:rPr>
                <w:bCs/>
                <w:color w:val="000000" w:themeColor="text1"/>
                <w:lang w:val="en-GB"/>
              </w:rPr>
            </w:pP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9. Ministry of Local Governance Administration (MLGA);</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 xml:space="preserve">10.Ministry of Economic Development (MED); </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11.Ministry of Agriculture, Forestry and Rural Development (MAFRD);</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12. Ministry of Infrastructure (MI);</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 xml:space="preserve">13. Ministry of Labour and Social Welfare (MLSW); the </w:t>
            </w:r>
          </w:p>
          <w:p w:rsidR="00090EF9" w:rsidRPr="00061AD2" w:rsidRDefault="00090EF9" w:rsidP="00602A19">
            <w:pPr>
              <w:autoSpaceDE w:val="0"/>
              <w:autoSpaceDN w:val="0"/>
              <w:adjustRightInd w:val="0"/>
              <w:rPr>
                <w:bCs/>
                <w:color w:val="000000" w:themeColor="text1"/>
                <w:lang w:val="en-GB"/>
              </w:rPr>
            </w:pPr>
            <w:r w:rsidRPr="00061AD2">
              <w:rPr>
                <w:bCs/>
                <w:color w:val="000000" w:themeColor="text1"/>
                <w:lang w:val="en-GB"/>
              </w:rPr>
              <w:t>14. Coordination Secretariat (SCC).</w:t>
            </w:r>
          </w:p>
          <w:p w:rsidR="00090EF9" w:rsidRPr="00061AD2" w:rsidRDefault="00090EF9" w:rsidP="00602A19">
            <w:pPr>
              <w:autoSpaceDE w:val="0"/>
              <w:autoSpaceDN w:val="0"/>
              <w:adjustRightInd w:val="0"/>
              <w:rPr>
                <w:bCs/>
                <w:color w:val="000000" w:themeColor="text1"/>
                <w:lang w:val="en-GB"/>
              </w:rPr>
            </w:pPr>
          </w:p>
          <w:p w:rsidR="00090EF9" w:rsidRPr="00503F27" w:rsidRDefault="00090EF9" w:rsidP="00602A19">
            <w:pPr>
              <w:autoSpaceDE w:val="0"/>
              <w:autoSpaceDN w:val="0"/>
              <w:adjustRightInd w:val="0"/>
              <w:rPr>
                <w:bCs/>
                <w:lang w:val="en-GB"/>
              </w:rPr>
            </w:pPr>
          </w:p>
          <w:p w:rsidR="008741E7" w:rsidRPr="005D4C7A" w:rsidRDefault="008741E7" w:rsidP="008741E7">
            <w:pPr>
              <w:autoSpaceDE w:val="0"/>
              <w:autoSpaceDN w:val="0"/>
              <w:adjustRightInd w:val="0"/>
              <w:jc w:val="center"/>
              <w:rPr>
                <w:b/>
                <w:bCs/>
                <w:lang w:val="en-GB"/>
              </w:rPr>
            </w:pPr>
            <w:r w:rsidRPr="005D4C7A">
              <w:rPr>
                <w:b/>
                <w:bCs/>
                <w:lang w:val="en-GB"/>
              </w:rPr>
              <w:t>8. Way of communicating the new policy to the public</w:t>
            </w:r>
          </w:p>
          <w:p w:rsidR="008741E7" w:rsidRPr="005D4C7A" w:rsidRDefault="008741E7" w:rsidP="008741E7">
            <w:pPr>
              <w:autoSpaceDE w:val="0"/>
              <w:autoSpaceDN w:val="0"/>
              <w:adjustRightInd w:val="0"/>
              <w:rPr>
                <w:bCs/>
                <w:lang w:val="en-GB"/>
              </w:rPr>
            </w:pPr>
          </w:p>
          <w:p w:rsidR="008741E7" w:rsidRPr="005D4C7A" w:rsidRDefault="008741E7" w:rsidP="008741E7">
            <w:pPr>
              <w:autoSpaceDE w:val="0"/>
              <w:autoSpaceDN w:val="0"/>
              <w:adjustRightInd w:val="0"/>
              <w:rPr>
                <w:bCs/>
                <w:lang w:val="en-GB"/>
              </w:rPr>
            </w:pPr>
            <w:r w:rsidRPr="005D4C7A">
              <w:rPr>
                <w:bCs/>
                <w:lang w:val="en-GB"/>
              </w:rPr>
              <w:t>Not applicable.</w:t>
            </w:r>
          </w:p>
          <w:p w:rsidR="008741E7" w:rsidRPr="005D4C7A" w:rsidRDefault="008741E7" w:rsidP="008741E7">
            <w:pPr>
              <w:autoSpaceDE w:val="0"/>
              <w:autoSpaceDN w:val="0"/>
              <w:adjustRightInd w:val="0"/>
              <w:jc w:val="center"/>
              <w:rPr>
                <w:b/>
                <w:bCs/>
                <w:lang w:val="en-GB"/>
              </w:rPr>
            </w:pPr>
            <w:r w:rsidRPr="005D4C7A">
              <w:rPr>
                <w:b/>
                <w:bCs/>
                <w:lang w:val="en-GB"/>
              </w:rPr>
              <w:t>9. Government Draft Decision</w:t>
            </w:r>
          </w:p>
          <w:p w:rsidR="008741E7" w:rsidRPr="005D4C7A" w:rsidRDefault="008741E7" w:rsidP="008741E7">
            <w:pPr>
              <w:autoSpaceDE w:val="0"/>
              <w:autoSpaceDN w:val="0"/>
              <w:adjustRightInd w:val="0"/>
              <w:rPr>
                <w:bCs/>
                <w:lang w:val="en-GB"/>
              </w:rPr>
            </w:pPr>
          </w:p>
          <w:p w:rsidR="008741E7" w:rsidRPr="005D4C7A" w:rsidRDefault="008741E7" w:rsidP="008741E7">
            <w:pPr>
              <w:shd w:val="clear" w:color="auto" w:fill="FFFFFF"/>
              <w:tabs>
                <w:tab w:val="left" w:pos="672"/>
              </w:tabs>
              <w:rPr>
                <w:color w:val="000000"/>
                <w:lang w:val="en-GB" w:eastAsia="ja-JP"/>
              </w:rPr>
            </w:pPr>
            <w:r w:rsidRPr="005D4C7A">
              <w:rPr>
                <w:bCs/>
                <w:lang w:val="en-GB"/>
              </w:rPr>
              <w:t>1. The Draft Law on Amending and Supplementing the Law no.</w:t>
            </w:r>
            <w:r w:rsidRPr="005D4C7A">
              <w:rPr>
                <w:color w:val="000000"/>
                <w:lang w:val="en-GB" w:eastAsia="ja-JP"/>
              </w:rPr>
              <w:t xml:space="preserve"> 04/L - 065 on Copyright. </w:t>
            </w:r>
          </w:p>
          <w:p w:rsidR="008741E7" w:rsidRPr="005D4C7A" w:rsidRDefault="008741E7" w:rsidP="008741E7">
            <w:pPr>
              <w:shd w:val="clear" w:color="auto" w:fill="FFFFFF"/>
              <w:tabs>
                <w:tab w:val="left" w:pos="672"/>
              </w:tabs>
              <w:rPr>
                <w:color w:val="000000"/>
                <w:lang w:val="en-GB" w:eastAsia="ja-JP"/>
              </w:rPr>
            </w:pPr>
          </w:p>
          <w:p w:rsidR="008741E7" w:rsidRPr="005D4C7A" w:rsidRDefault="008741E7" w:rsidP="00A32988">
            <w:pPr>
              <w:autoSpaceDE w:val="0"/>
              <w:autoSpaceDN w:val="0"/>
              <w:adjustRightInd w:val="0"/>
              <w:jc w:val="both"/>
              <w:rPr>
                <w:bCs/>
                <w:lang w:val="en-GB"/>
              </w:rPr>
            </w:pPr>
            <w:r w:rsidRPr="005D4C7A">
              <w:rPr>
                <w:color w:val="000000"/>
                <w:lang w:val="en-GB" w:eastAsia="ja-JP"/>
              </w:rPr>
              <w:t xml:space="preserve">2.  </w:t>
            </w:r>
            <w:r w:rsidRPr="005D4C7A">
              <w:rPr>
                <w:bCs/>
                <w:lang w:val="en-GB"/>
              </w:rPr>
              <w:t>The Secretary General of the Office of the Prime Minister is hereby obliged to ensure that the Draft Law from point 1 of this Decision is proceeded for consideration and approval to the Assembly of the Republic of Kosovo.</w:t>
            </w:r>
          </w:p>
          <w:p w:rsidR="008741E7" w:rsidRPr="005D4C7A" w:rsidRDefault="008741E7" w:rsidP="008741E7">
            <w:pPr>
              <w:autoSpaceDE w:val="0"/>
              <w:autoSpaceDN w:val="0"/>
              <w:adjustRightInd w:val="0"/>
              <w:rPr>
                <w:bCs/>
                <w:lang w:val="en-GB"/>
              </w:rPr>
            </w:pPr>
          </w:p>
          <w:p w:rsidR="008741E7" w:rsidRPr="005D4C7A" w:rsidRDefault="008741E7" w:rsidP="008741E7">
            <w:pPr>
              <w:autoSpaceDE w:val="0"/>
              <w:autoSpaceDN w:val="0"/>
              <w:adjustRightInd w:val="0"/>
              <w:rPr>
                <w:bCs/>
                <w:lang w:val="en-GB"/>
              </w:rPr>
            </w:pPr>
            <w:r w:rsidRPr="005D4C7A">
              <w:rPr>
                <w:bCs/>
                <w:lang w:val="en-GB"/>
              </w:rPr>
              <w:t xml:space="preserve">3. The decision enters into force on the day of its signing. </w:t>
            </w:r>
          </w:p>
          <w:p w:rsidR="00090EF9" w:rsidRDefault="00090EF9" w:rsidP="00602A19">
            <w:pPr>
              <w:autoSpaceDE w:val="0"/>
              <w:autoSpaceDN w:val="0"/>
              <w:adjustRightInd w:val="0"/>
              <w:rPr>
                <w:bCs/>
                <w:lang w:val="en-GB"/>
              </w:rPr>
            </w:pPr>
          </w:p>
          <w:p w:rsidR="00090EF9" w:rsidRPr="00503F27" w:rsidRDefault="00090EF9" w:rsidP="00602A19">
            <w:pPr>
              <w:autoSpaceDE w:val="0"/>
              <w:autoSpaceDN w:val="0"/>
              <w:adjustRightInd w:val="0"/>
              <w:rPr>
                <w:bCs/>
                <w:lang w:val="en-GB"/>
              </w:rPr>
            </w:pPr>
          </w:p>
          <w:p w:rsidR="00090EF9" w:rsidRPr="00503F27" w:rsidRDefault="00090EF9" w:rsidP="00090EF9">
            <w:pPr>
              <w:autoSpaceDE w:val="0"/>
              <w:autoSpaceDN w:val="0"/>
              <w:adjustRightInd w:val="0"/>
              <w:rPr>
                <w:i/>
                <w:iCs/>
              </w:rPr>
            </w:pPr>
          </w:p>
        </w:tc>
        <w:tc>
          <w:tcPr>
            <w:tcW w:w="4255" w:type="dxa"/>
          </w:tcPr>
          <w:p w:rsidR="00090EF9" w:rsidRPr="00503F27" w:rsidRDefault="00090EF9" w:rsidP="00602A19">
            <w:pPr>
              <w:shd w:val="clear" w:color="auto" w:fill="FFFFFF"/>
              <w:tabs>
                <w:tab w:val="left" w:pos="672"/>
              </w:tabs>
              <w:rPr>
                <w:bCs/>
                <w:lang w:val="sr-Latn-CS"/>
              </w:rPr>
            </w:pPr>
          </w:p>
          <w:p w:rsidR="008741E7" w:rsidRPr="005D4C7A" w:rsidRDefault="008741E7" w:rsidP="008741E7">
            <w:pPr>
              <w:suppressAutoHyphens/>
              <w:autoSpaceDE w:val="0"/>
              <w:jc w:val="center"/>
              <w:rPr>
                <w:b/>
              </w:rPr>
            </w:pPr>
            <w:r w:rsidRPr="005D4C7A">
              <w:rPr>
                <w:b/>
              </w:rPr>
              <w:t xml:space="preserve">MEMORANDUM OBRAZLOŽENJA NACRT ZAKONA O PROMENI I DOPUNI ZAKONA </w:t>
            </w:r>
            <w:proofErr w:type="spellStart"/>
            <w:r w:rsidRPr="005D4C7A">
              <w:rPr>
                <w:b/>
              </w:rPr>
              <w:t>BR.04</w:t>
            </w:r>
            <w:proofErr w:type="spellEnd"/>
            <w:r w:rsidRPr="005D4C7A">
              <w:rPr>
                <w:b/>
              </w:rPr>
              <w:t xml:space="preserve"> / L-065</w:t>
            </w:r>
          </w:p>
          <w:p w:rsidR="008741E7" w:rsidRPr="005D4C7A" w:rsidRDefault="008741E7" w:rsidP="008741E7">
            <w:pPr>
              <w:suppressAutoHyphens/>
              <w:autoSpaceDE w:val="0"/>
              <w:jc w:val="center"/>
              <w:rPr>
                <w:b/>
              </w:rPr>
            </w:pPr>
            <w:r w:rsidRPr="005D4C7A">
              <w:rPr>
                <w:b/>
              </w:rPr>
              <w:t>O AUTORKIM PRAVIMA I SRODNIH PRAVA</w:t>
            </w:r>
          </w:p>
          <w:p w:rsidR="008741E7" w:rsidRPr="005D4C7A" w:rsidRDefault="008741E7" w:rsidP="008741E7">
            <w:pPr>
              <w:suppressAutoHyphens/>
              <w:autoSpaceDE w:val="0"/>
              <w:jc w:val="center"/>
              <w:rPr>
                <w:b/>
              </w:rPr>
            </w:pPr>
          </w:p>
          <w:p w:rsidR="008741E7" w:rsidRPr="005D4C7A" w:rsidRDefault="008741E7" w:rsidP="008741E7">
            <w:pPr>
              <w:suppressAutoHyphens/>
              <w:autoSpaceDE w:val="0"/>
              <w:jc w:val="center"/>
              <w:rPr>
                <w:lang w:val="sr-Latn-CS"/>
              </w:rPr>
            </w:pPr>
          </w:p>
          <w:p w:rsidR="008741E7" w:rsidRPr="005D4C7A" w:rsidRDefault="008741E7" w:rsidP="008741E7">
            <w:pPr>
              <w:shd w:val="clear" w:color="auto" w:fill="FFFFFF"/>
              <w:tabs>
                <w:tab w:val="left" w:pos="672"/>
              </w:tabs>
              <w:jc w:val="center"/>
              <w:rPr>
                <w:b/>
                <w:bCs/>
                <w:lang w:val="sr-Latn-CS"/>
              </w:rPr>
            </w:pPr>
            <w:r w:rsidRPr="005D4C7A">
              <w:rPr>
                <w:b/>
                <w:bCs/>
                <w:lang w:val="sr-Latn-CS"/>
              </w:rPr>
              <w:t>1. Glavno pitanje za razmatranje</w:t>
            </w:r>
          </w:p>
          <w:p w:rsidR="008741E7" w:rsidRPr="005D4C7A" w:rsidRDefault="008741E7" w:rsidP="008741E7">
            <w:pPr>
              <w:shd w:val="clear" w:color="auto" w:fill="FFFFFF"/>
              <w:tabs>
                <w:tab w:val="left" w:pos="672"/>
              </w:tabs>
              <w:jc w:val="center"/>
              <w:rPr>
                <w:bCs/>
                <w:lang w:val="sr-Latn-CS"/>
              </w:rPr>
            </w:pPr>
          </w:p>
          <w:p w:rsidR="008741E7" w:rsidRPr="005D4C7A" w:rsidRDefault="008741E7" w:rsidP="00B7542D">
            <w:pPr>
              <w:suppressAutoHyphens/>
              <w:autoSpaceDE w:val="0"/>
              <w:jc w:val="both"/>
              <w:rPr>
                <w:lang w:val="sr-Latn-CS"/>
              </w:rPr>
            </w:pPr>
            <w:r w:rsidRPr="005D4C7A">
              <w:rPr>
                <w:bCs/>
                <w:color w:val="000000"/>
                <w:lang w:val="sr-Latn-CS" w:eastAsia="ja-JP"/>
              </w:rPr>
              <w:t xml:space="preserve">Efikasna priprema i implementaciju relevantnih zakona i standarda u funkciji očuvanja i zaštite kulturne baštine i dalje važan prioritet odgovornih lica, i predlagača politike i zakonodavstva u ovoj oblasti. Zbog toga, pošto je Republika Kosovo u stalnom procesu reforme zakonodavstva, Zakon br. 05/L </w:t>
            </w:r>
            <w:r w:rsidRPr="005D4C7A">
              <w:rPr>
                <w:bCs/>
                <w:color w:val="000000"/>
                <w:lang w:eastAsia="ja-JP"/>
              </w:rPr>
              <w:t>–</w:t>
            </w:r>
            <w:r w:rsidRPr="005D4C7A">
              <w:rPr>
                <w:bCs/>
                <w:color w:val="000000"/>
                <w:lang w:val="sr-Latn-CS" w:eastAsia="ja-JP"/>
              </w:rPr>
              <w:t xml:space="preserve"> 087 o prekršaju, koji predstavlja obaveze za nadležne institucije da pokrenu zakonodavne procedure i inicijative sa kojima u roku od jedne godine će se uskladiti postojeće sve odredbe postojećeg zakona koje predviđaju prekršaje ili prekršajne prirode sankcija koje nisu u skladu sa ovim zakonom. Na taj način Ministarstvo kulture, omladine i sporta, sponzorstvom Nacrta zakona br. 06/L </w:t>
            </w:r>
            <w:r w:rsidRPr="005D4C7A">
              <w:rPr>
                <w:bCs/>
                <w:color w:val="000000"/>
                <w:lang w:eastAsia="ja-JP"/>
              </w:rPr>
              <w:t>–</w:t>
            </w:r>
            <w:r w:rsidRPr="005D4C7A">
              <w:rPr>
                <w:bCs/>
                <w:color w:val="000000"/>
                <w:lang w:val="sr-Latn-CS" w:eastAsia="ja-JP"/>
              </w:rPr>
              <w:t xml:space="preserve"> XX o izmenama i dopunama Zakona br. </w:t>
            </w:r>
            <w:r w:rsidRPr="005D4C7A">
              <w:rPr>
                <w:lang w:val="sr-Latn-CS"/>
              </w:rPr>
              <w:t xml:space="preserve">04 / L - 065 o autorskim pravima, </w:t>
            </w:r>
            <w:r w:rsidRPr="005D4C7A">
              <w:rPr>
                <w:bCs/>
                <w:color w:val="000000"/>
                <w:lang w:val="sr-Latn-CS" w:eastAsia="ja-JP"/>
              </w:rPr>
              <w:t>će takođe ispuniti obavezu Vlade Republike Kosovo da se završi proces usklađivanja i da stvori uslove za efikasnu implementaciju novog regulisanog sistema za prekršaje i sankcije za prekršaje putem Zakona br. 05/L</w:t>
            </w:r>
            <w:r w:rsidRPr="005D4C7A">
              <w:rPr>
                <w:bCs/>
                <w:color w:val="000000"/>
                <w:lang w:eastAsia="ja-JP"/>
              </w:rPr>
              <w:t>–</w:t>
            </w:r>
            <w:r w:rsidRPr="005D4C7A">
              <w:rPr>
                <w:bCs/>
                <w:color w:val="000000"/>
                <w:lang w:val="sr-Latn-CS" w:eastAsia="ja-JP"/>
              </w:rPr>
              <w:t>087 o prekršaju takođe i u oblasti</w:t>
            </w:r>
            <w:r w:rsidRPr="005D4C7A">
              <w:rPr>
                <w:lang w:val="sr-Latn-CS"/>
              </w:rPr>
              <w:t xml:space="preserve"> autorskih prava.</w:t>
            </w:r>
          </w:p>
          <w:p w:rsidR="008741E7" w:rsidRPr="005D4C7A" w:rsidRDefault="008741E7" w:rsidP="008741E7">
            <w:pPr>
              <w:suppressAutoHyphens/>
              <w:autoSpaceDE w:val="0"/>
              <w:rPr>
                <w:lang w:val="sr-Latn-CS"/>
              </w:rPr>
            </w:pPr>
          </w:p>
          <w:p w:rsidR="008741E7" w:rsidRPr="005D4C7A" w:rsidRDefault="008741E7" w:rsidP="008741E7">
            <w:pPr>
              <w:suppressAutoHyphens/>
              <w:autoSpaceDE w:val="0"/>
              <w:rPr>
                <w:b/>
                <w:lang w:val="sr-Latn-CS"/>
              </w:rPr>
            </w:pPr>
          </w:p>
          <w:p w:rsidR="008741E7" w:rsidRPr="005D4C7A" w:rsidRDefault="008741E7" w:rsidP="008741E7">
            <w:pPr>
              <w:suppressAutoHyphens/>
              <w:autoSpaceDE w:val="0"/>
              <w:jc w:val="center"/>
              <w:rPr>
                <w:b/>
                <w:lang w:val="sr-Latn-CS"/>
              </w:rPr>
            </w:pPr>
            <w:r w:rsidRPr="005D4C7A">
              <w:rPr>
                <w:b/>
                <w:lang w:val="sr-Latn-CS"/>
              </w:rPr>
              <w:t>2. Ciljevi i njihova povezanost sa prioritetima Vlade;</w:t>
            </w:r>
          </w:p>
          <w:p w:rsidR="008741E7" w:rsidRPr="005D4C7A" w:rsidRDefault="008741E7" w:rsidP="008741E7">
            <w:pPr>
              <w:suppressAutoHyphens/>
              <w:autoSpaceDE w:val="0"/>
              <w:jc w:val="center"/>
              <w:rPr>
                <w:lang w:val="sr-Latn-CS"/>
              </w:rPr>
            </w:pPr>
          </w:p>
          <w:p w:rsidR="008741E7" w:rsidRPr="005D4C7A" w:rsidRDefault="008741E7" w:rsidP="00D374FE">
            <w:pPr>
              <w:suppressAutoHyphens/>
              <w:autoSpaceDE w:val="0"/>
              <w:jc w:val="both"/>
              <w:rPr>
                <w:lang w:val="sr-Latn-CS"/>
              </w:rPr>
            </w:pPr>
            <w:r w:rsidRPr="005D4C7A">
              <w:rPr>
                <w:lang w:val="sr-Latn-CS"/>
              </w:rPr>
              <w:t xml:space="preserve">Autorska prava </w:t>
            </w:r>
            <w:r w:rsidRPr="005D4C7A">
              <w:rPr>
                <w:bCs/>
                <w:color w:val="000000"/>
                <w:lang w:val="sr-Latn-CS" w:eastAsia="ja-JP"/>
              </w:rPr>
              <w:t>u Republici Kosovo se tretira kao prioritet u okviru institucionalne i zakonodavne organizacije u cilju postizanja neprekidne konsolidacije održivog sistema o</w:t>
            </w:r>
            <w:r w:rsidRPr="005D4C7A">
              <w:rPr>
                <w:lang w:val="sr-Latn-CS"/>
              </w:rPr>
              <w:t xml:space="preserve"> autorskog prava i srodnih prava.</w:t>
            </w:r>
          </w:p>
          <w:p w:rsidR="008741E7" w:rsidRPr="005D4C7A" w:rsidRDefault="008741E7" w:rsidP="00D374FE">
            <w:pPr>
              <w:suppressAutoHyphens/>
              <w:autoSpaceDE w:val="0"/>
              <w:jc w:val="both"/>
              <w:rPr>
                <w:lang w:val="sr-Latn-CS"/>
              </w:rPr>
            </w:pPr>
          </w:p>
          <w:p w:rsidR="008741E7" w:rsidRPr="005D4C7A" w:rsidRDefault="008741E7" w:rsidP="00D374FE">
            <w:pPr>
              <w:ind w:left="72"/>
              <w:jc w:val="both"/>
              <w:rPr>
                <w:bCs/>
                <w:color w:val="000000"/>
                <w:lang w:val="sr-Latn-CS" w:eastAsia="ja-JP"/>
              </w:rPr>
            </w:pPr>
            <w:r w:rsidRPr="005D4C7A">
              <w:rPr>
                <w:bCs/>
                <w:color w:val="000000"/>
                <w:lang w:val="sr-Latn-CS" w:eastAsia="ja-JP"/>
              </w:rPr>
              <w:t>Vlada Republike Kosovo, u svom programu 2017 - 2021, strana 12, stav četiri (4) je postavila standarde između ostalog, poboljšati svoje planiranje i koordinaciju politika i zakonodavstva. U tom smislu, usklađivanje sektorskog i sistemskog zakonodavstva je bitan preduslov za osiguravanje i efikasno sprovođenje zakona u duhu standarda dobrog upravljanja, jednakost pred zakonom, pravne sigurnosti i poštivanje ljudskih prava i temeljnih sloboda</w:t>
            </w:r>
            <w:r w:rsidRPr="005D4C7A">
              <w:rPr>
                <w:lang w:val="sr-Latn-CS"/>
              </w:rPr>
              <w:t>.</w:t>
            </w:r>
          </w:p>
          <w:p w:rsidR="008741E7" w:rsidRPr="005D4C7A" w:rsidRDefault="008741E7" w:rsidP="00D374FE">
            <w:pPr>
              <w:suppressAutoHyphens/>
              <w:autoSpaceDE w:val="0"/>
              <w:jc w:val="both"/>
              <w:rPr>
                <w:lang w:val="sr-Latn-CS"/>
              </w:rPr>
            </w:pPr>
          </w:p>
          <w:p w:rsidR="008741E7" w:rsidRPr="005D4C7A" w:rsidRDefault="008741E7" w:rsidP="00D374FE">
            <w:pPr>
              <w:suppressAutoHyphens/>
              <w:autoSpaceDE w:val="0"/>
              <w:jc w:val="both"/>
              <w:rPr>
                <w:lang w:val="sr-Latn-CS"/>
              </w:rPr>
            </w:pPr>
          </w:p>
          <w:p w:rsidR="008741E7" w:rsidRPr="005D4C7A" w:rsidRDefault="008741E7" w:rsidP="00D374FE">
            <w:pPr>
              <w:suppressAutoHyphens/>
              <w:autoSpaceDE w:val="0"/>
              <w:jc w:val="both"/>
              <w:rPr>
                <w:lang w:val="sr-Latn-CS"/>
              </w:rPr>
            </w:pPr>
            <w:r w:rsidRPr="005D4C7A">
              <w:rPr>
                <w:lang w:val="sr-Latn-CS"/>
              </w:rPr>
              <w:t>Današnja odluka Vlade Republike Kosovo izražava i sprovođenje strateškog cilja. Kompletiranje zakonodavstva,  usaglašavanje Zakona i podzakonskih akata sa Zakonom o autorskim pravima i drugim zakonima Kosova.</w:t>
            </w:r>
          </w:p>
          <w:p w:rsidR="008741E7" w:rsidRPr="005D4C7A" w:rsidRDefault="008741E7" w:rsidP="00D374FE">
            <w:pPr>
              <w:ind w:left="72"/>
              <w:jc w:val="both"/>
              <w:rPr>
                <w:lang w:val="sr-Latn-CS"/>
              </w:rPr>
            </w:pPr>
            <w:r w:rsidRPr="005D4C7A">
              <w:rPr>
                <w:lang w:val="sr-Latn-CS"/>
              </w:rPr>
              <w:t>Ista posvećenost je izražena kao strateška orijentacija u delu Programa Vlade Republike Kosovo, na strani 53 tačka 5.</w:t>
            </w:r>
          </w:p>
          <w:p w:rsidR="008741E7" w:rsidRPr="008741E7" w:rsidRDefault="008741E7" w:rsidP="00D374FE">
            <w:pPr>
              <w:ind w:left="72"/>
              <w:jc w:val="both"/>
              <w:rPr>
                <w:lang w:val="sr-Latn-CS"/>
              </w:rPr>
            </w:pPr>
            <w:r w:rsidRPr="005D4C7A">
              <w:rPr>
                <w:lang w:val="sr-Latn-CS"/>
              </w:rPr>
              <w:t>Predložen nacrt zakona treba da izražava ove standarde, politike i strateška opredjeljenja Republike Kosova, Ministarstvo kulture, omladine i sporta kao deo svojih obaveza koje proizlaze iz ustavnih i zakonskih obaveza pod definisanim mandatom.</w:t>
            </w:r>
          </w:p>
          <w:p w:rsidR="008741E7" w:rsidRPr="005D4C7A" w:rsidRDefault="008741E7" w:rsidP="00D374FE">
            <w:pPr>
              <w:suppressAutoHyphens/>
              <w:autoSpaceDE w:val="0"/>
              <w:jc w:val="both"/>
              <w:rPr>
                <w:b/>
                <w:lang w:val="sr-Latn-CS"/>
              </w:rPr>
            </w:pPr>
          </w:p>
          <w:p w:rsidR="008741E7" w:rsidRPr="005D4C7A" w:rsidRDefault="008741E7" w:rsidP="008741E7">
            <w:pPr>
              <w:suppressAutoHyphens/>
              <w:autoSpaceDE w:val="0"/>
              <w:jc w:val="center"/>
              <w:rPr>
                <w:b/>
                <w:lang w:val="sr-Latn-CS"/>
              </w:rPr>
            </w:pPr>
            <w:r w:rsidRPr="005D4C7A">
              <w:rPr>
                <w:b/>
                <w:lang w:val="sr-Latn-CS"/>
              </w:rPr>
              <w:t>3. Preporučena opcija</w:t>
            </w:r>
          </w:p>
          <w:p w:rsidR="008741E7" w:rsidRPr="005D4C7A" w:rsidRDefault="008741E7" w:rsidP="008741E7">
            <w:pPr>
              <w:suppressAutoHyphens/>
              <w:autoSpaceDE w:val="0"/>
              <w:jc w:val="center"/>
              <w:rPr>
                <w:lang w:val="sr-Latn-CS"/>
              </w:rPr>
            </w:pPr>
          </w:p>
          <w:p w:rsidR="008741E7" w:rsidRPr="005D4C7A" w:rsidRDefault="008741E7" w:rsidP="00D374FE">
            <w:pPr>
              <w:suppressAutoHyphens/>
              <w:autoSpaceDE w:val="0"/>
              <w:jc w:val="both"/>
              <w:rPr>
                <w:lang w:val="sr-Latn-CS"/>
              </w:rPr>
            </w:pPr>
            <w:r w:rsidRPr="005D4C7A">
              <w:rPr>
                <w:bCs/>
                <w:lang w:val="sr-Latn-CS"/>
              </w:rPr>
              <w:t xml:space="preserve">Od mogućih rešenja i opcija raspravljena je  opcija za izradu nacrt zakona da se omogući usklađivanje odredbi Zakona br. </w:t>
            </w:r>
            <w:r w:rsidRPr="005D4C7A">
              <w:rPr>
                <w:lang w:val="sr-Latn-CS"/>
              </w:rPr>
              <w:t xml:space="preserve"> 04/L - 065 o autorskim pravima sa relevantnim odredbama Zakona br. 05 / L - 087 za prekršaje.</w:t>
            </w:r>
          </w:p>
          <w:p w:rsidR="008741E7" w:rsidRPr="005D4C7A" w:rsidRDefault="008741E7" w:rsidP="008741E7">
            <w:pPr>
              <w:suppressAutoHyphens/>
              <w:autoSpaceDE w:val="0"/>
              <w:jc w:val="center"/>
              <w:rPr>
                <w:lang w:val="sr-Latn-CS"/>
              </w:rPr>
            </w:pPr>
          </w:p>
          <w:p w:rsidR="008741E7" w:rsidRDefault="008741E7" w:rsidP="008741E7">
            <w:pPr>
              <w:suppressAutoHyphens/>
              <w:autoSpaceDE w:val="0"/>
              <w:jc w:val="center"/>
              <w:rPr>
                <w:b/>
                <w:lang w:val="sr-Latn-CS"/>
              </w:rPr>
            </w:pPr>
          </w:p>
          <w:p w:rsidR="00D374FE" w:rsidRPr="005D4C7A" w:rsidRDefault="00D374FE" w:rsidP="008741E7">
            <w:pPr>
              <w:suppressAutoHyphens/>
              <w:autoSpaceDE w:val="0"/>
              <w:jc w:val="center"/>
              <w:rPr>
                <w:b/>
                <w:lang w:val="sr-Latn-CS"/>
              </w:rPr>
            </w:pPr>
          </w:p>
          <w:p w:rsidR="008741E7" w:rsidRPr="005D4C7A" w:rsidRDefault="008741E7" w:rsidP="008741E7">
            <w:pPr>
              <w:suppressAutoHyphens/>
              <w:autoSpaceDE w:val="0"/>
              <w:jc w:val="center"/>
              <w:rPr>
                <w:b/>
                <w:lang w:val="sr-Latn-CS"/>
              </w:rPr>
            </w:pPr>
            <w:r w:rsidRPr="005D4C7A">
              <w:rPr>
                <w:b/>
                <w:lang w:val="sr-Latn-CS"/>
              </w:rPr>
              <w:t xml:space="preserve">4. </w:t>
            </w:r>
            <w:r w:rsidRPr="005D4C7A">
              <w:rPr>
                <w:b/>
                <w:bCs/>
                <w:lang w:val="sr-Latn-CS"/>
              </w:rPr>
              <w:t>Obrazloženje predloga, uključujući i objašnjenje nivoa usklađivanja sa zakonodavstvom EU</w:t>
            </w:r>
          </w:p>
          <w:p w:rsidR="008741E7" w:rsidRPr="005D4C7A" w:rsidRDefault="008741E7" w:rsidP="008741E7">
            <w:pPr>
              <w:suppressAutoHyphens/>
              <w:autoSpaceDE w:val="0"/>
              <w:jc w:val="center"/>
              <w:rPr>
                <w:lang w:val="sr-Latn-CS"/>
              </w:rPr>
            </w:pPr>
          </w:p>
          <w:p w:rsidR="008741E7" w:rsidRPr="005D4C7A" w:rsidRDefault="008741E7" w:rsidP="008741E7">
            <w:pPr>
              <w:suppressAutoHyphens/>
              <w:autoSpaceDE w:val="0"/>
              <w:jc w:val="center"/>
              <w:rPr>
                <w:lang w:val="sr-Latn-CS"/>
              </w:rPr>
            </w:pPr>
            <w:r w:rsidRPr="005D4C7A">
              <w:rPr>
                <w:lang w:val="sr-Latn-CS"/>
              </w:rPr>
              <w:t>Nije primenljivo.</w:t>
            </w:r>
          </w:p>
          <w:p w:rsidR="008741E7" w:rsidRPr="005D4C7A" w:rsidRDefault="008741E7" w:rsidP="008741E7">
            <w:pPr>
              <w:suppressAutoHyphens/>
              <w:autoSpaceDE w:val="0"/>
              <w:jc w:val="center"/>
              <w:rPr>
                <w:lang w:val="sr-Latn-CS"/>
              </w:rPr>
            </w:pPr>
          </w:p>
          <w:p w:rsidR="008741E7" w:rsidRPr="005D4C7A" w:rsidRDefault="008741E7" w:rsidP="008741E7">
            <w:pPr>
              <w:suppressAutoHyphens/>
              <w:autoSpaceDE w:val="0"/>
              <w:jc w:val="center"/>
              <w:rPr>
                <w:lang w:val="sr-Latn-CS"/>
              </w:rPr>
            </w:pPr>
          </w:p>
          <w:p w:rsidR="008741E7" w:rsidRPr="005D4C7A" w:rsidRDefault="008741E7" w:rsidP="008741E7">
            <w:pPr>
              <w:suppressAutoHyphens/>
              <w:autoSpaceDE w:val="0"/>
              <w:jc w:val="center"/>
              <w:rPr>
                <w:lang w:val="sr-Latn-CS"/>
              </w:rPr>
            </w:pPr>
          </w:p>
          <w:p w:rsidR="008741E7" w:rsidRPr="005D4C7A" w:rsidRDefault="008741E7" w:rsidP="008741E7">
            <w:pPr>
              <w:shd w:val="clear" w:color="auto" w:fill="FFFFFF"/>
              <w:tabs>
                <w:tab w:val="left" w:pos="672"/>
              </w:tabs>
              <w:jc w:val="center"/>
              <w:rPr>
                <w:b/>
                <w:bCs/>
                <w:lang w:val="sr-Latn-CS"/>
              </w:rPr>
            </w:pPr>
            <w:r w:rsidRPr="005D4C7A">
              <w:rPr>
                <w:b/>
                <w:lang w:val="sr-Latn-CS"/>
              </w:rPr>
              <w:t xml:space="preserve">5. </w:t>
            </w:r>
            <w:r w:rsidRPr="005D4C7A">
              <w:rPr>
                <w:b/>
                <w:bCs/>
                <w:lang w:val="sr-Latn-CS"/>
              </w:rPr>
              <w:t>Glavni elementi predloženog zakonodavstva ili politike (sadržaj,</w:t>
            </w:r>
          </w:p>
          <w:p w:rsidR="008741E7" w:rsidRPr="00D374FE" w:rsidRDefault="008741E7" w:rsidP="00D374FE">
            <w:pPr>
              <w:shd w:val="clear" w:color="auto" w:fill="FFFFFF"/>
              <w:tabs>
                <w:tab w:val="left" w:pos="672"/>
              </w:tabs>
              <w:jc w:val="center"/>
              <w:rPr>
                <w:b/>
                <w:bCs/>
                <w:lang w:val="sr-Latn-CS"/>
              </w:rPr>
            </w:pPr>
            <w:r w:rsidRPr="005D4C7A">
              <w:rPr>
                <w:b/>
                <w:bCs/>
                <w:lang w:val="sr-Latn-CS"/>
              </w:rPr>
              <w:t>politički instrumenti, troškovi, administrativni postupci)</w:t>
            </w:r>
          </w:p>
          <w:p w:rsidR="008741E7" w:rsidRDefault="008741E7" w:rsidP="00D374FE">
            <w:pPr>
              <w:suppressAutoHyphens/>
              <w:autoSpaceDE w:val="0"/>
              <w:jc w:val="both"/>
              <w:rPr>
                <w:lang w:val="sr-Latn-CS"/>
              </w:rPr>
            </w:pPr>
            <w:r w:rsidRPr="005D4C7A">
              <w:rPr>
                <w:lang w:val="sr-Latn-CS"/>
              </w:rPr>
              <w:t>Ovim Nacrt zakonom, Zakon br. 04/L - 065 o autorskim pravima pri čemu odredbe koje sadrže procedure, mere ili prekršajne sankcije će se uskladiti sa Zakonom br. 05/L - 087 za prekršaje.</w:t>
            </w:r>
          </w:p>
          <w:p w:rsidR="00061AD2" w:rsidRPr="005D4C7A" w:rsidRDefault="00061AD2" w:rsidP="00D374FE">
            <w:pPr>
              <w:suppressAutoHyphens/>
              <w:autoSpaceDE w:val="0"/>
              <w:jc w:val="both"/>
              <w:rPr>
                <w:lang w:val="sr-Latn-CS"/>
              </w:rPr>
            </w:pPr>
          </w:p>
          <w:p w:rsidR="008741E7" w:rsidRPr="005D4C7A" w:rsidRDefault="008741E7" w:rsidP="00D374FE">
            <w:pPr>
              <w:shd w:val="clear" w:color="auto" w:fill="FFFFFF"/>
              <w:tabs>
                <w:tab w:val="left" w:pos="672"/>
              </w:tabs>
              <w:jc w:val="both"/>
              <w:rPr>
                <w:bCs/>
                <w:lang w:val="sr-Latn-CS"/>
              </w:rPr>
            </w:pPr>
            <w:r w:rsidRPr="005D4C7A">
              <w:rPr>
                <w:bCs/>
                <w:lang w:val="sr-Latn-CS"/>
              </w:rPr>
              <w:t>Kroz ovaj nacrt su usklađene iznose kazni za minimalne i maksimalne granice, uslove kada prekršajna sankcija može udvostručiti autoritet nadležnog državnog organa, da izriče novčane kazne, prava da zahteva naknadu štete, kao i relevantna postupcke, pravo u vršenju pravnih lekova itd.</w:t>
            </w:r>
          </w:p>
          <w:p w:rsidR="008741E7" w:rsidRPr="005D4C7A" w:rsidRDefault="008741E7" w:rsidP="008741E7">
            <w:pPr>
              <w:suppressAutoHyphens/>
              <w:autoSpaceDE w:val="0"/>
              <w:rPr>
                <w:lang w:val="sr-Latn-CS"/>
              </w:rPr>
            </w:pPr>
          </w:p>
          <w:p w:rsidR="008741E7" w:rsidRPr="005D4C7A" w:rsidRDefault="008741E7" w:rsidP="008741E7">
            <w:pPr>
              <w:suppressAutoHyphens/>
              <w:autoSpaceDE w:val="0"/>
              <w:jc w:val="center"/>
              <w:rPr>
                <w:lang w:val="sr-Latn-CS"/>
              </w:rPr>
            </w:pPr>
          </w:p>
          <w:p w:rsidR="008741E7" w:rsidRPr="005D4C7A" w:rsidRDefault="008741E7" w:rsidP="008741E7">
            <w:pPr>
              <w:suppressAutoHyphens/>
              <w:autoSpaceDE w:val="0"/>
              <w:rPr>
                <w:b/>
                <w:lang w:val="sr-Latn-CS"/>
              </w:rPr>
            </w:pPr>
          </w:p>
          <w:p w:rsidR="008741E7" w:rsidRPr="005D4C7A" w:rsidRDefault="008741E7" w:rsidP="008741E7">
            <w:pPr>
              <w:suppressAutoHyphens/>
              <w:autoSpaceDE w:val="0"/>
              <w:jc w:val="center"/>
              <w:rPr>
                <w:b/>
                <w:lang w:val="sr-Latn-CS"/>
              </w:rPr>
            </w:pPr>
            <w:r w:rsidRPr="005D4C7A">
              <w:rPr>
                <w:b/>
                <w:lang w:val="sr-Latn-CS"/>
              </w:rPr>
              <w:t>6. Procena finansijskog uticaja Nacrt Zakona</w:t>
            </w:r>
          </w:p>
          <w:p w:rsidR="008741E7" w:rsidRPr="005D4C7A" w:rsidRDefault="008741E7" w:rsidP="008741E7">
            <w:pPr>
              <w:suppressAutoHyphens/>
              <w:autoSpaceDE w:val="0"/>
              <w:jc w:val="center"/>
              <w:rPr>
                <w:lang w:val="sr-Latn-CS"/>
              </w:rPr>
            </w:pPr>
          </w:p>
          <w:p w:rsidR="008741E7" w:rsidRDefault="008741E7" w:rsidP="00142FC6">
            <w:pPr>
              <w:suppressAutoHyphens/>
              <w:autoSpaceDE w:val="0"/>
              <w:jc w:val="both"/>
              <w:rPr>
                <w:lang w:val="sr-Latn-CS"/>
              </w:rPr>
            </w:pPr>
            <w:r w:rsidRPr="005D4C7A">
              <w:rPr>
                <w:bCs/>
                <w:lang w:val="sr-Latn-CS"/>
              </w:rPr>
              <w:t>Sve moguće financijske implikacije ovog Nacrt Zakona su deo aktualnih budžetskih izdvajanja Ministarstva kulture, omladine i sporta</w:t>
            </w:r>
            <w:r w:rsidRPr="005D4C7A">
              <w:rPr>
                <w:lang w:val="sr-Latn-CS"/>
              </w:rPr>
              <w:t>.</w:t>
            </w:r>
          </w:p>
          <w:p w:rsidR="008741E7" w:rsidRDefault="008741E7" w:rsidP="008741E7">
            <w:pPr>
              <w:suppressAutoHyphens/>
              <w:autoSpaceDE w:val="0"/>
              <w:rPr>
                <w:lang w:val="sr-Latn-CS"/>
              </w:rPr>
            </w:pPr>
          </w:p>
          <w:p w:rsidR="008741E7" w:rsidRPr="005D4C7A" w:rsidRDefault="008741E7" w:rsidP="008741E7">
            <w:pPr>
              <w:suppressAutoHyphens/>
              <w:autoSpaceDE w:val="0"/>
              <w:rPr>
                <w:lang w:val="sr-Latn-CS"/>
              </w:rPr>
            </w:pPr>
          </w:p>
          <w:p w:rsidR="008741E7" w:rsidRPr="005D4C7A" w:rsidRDefault="008741E7" w:rsidP="008741E7">
            <w:pPr>
              <w:shd w:val="clear" w:color="auto" w:fill="FFFFFF"/>
              <w:tabs>
                <w:tab w:val="left" w:pos="672"/>
              </w:tabs>
              <w:jc w:val="center"/>
              <w:rPr>
                <w:b/>
                <w:bCs/>
                <w:lang w:val="sr-Latn-CS"/>
              </w:rPr>
            </w:pPr>
            <w:r w:rsidRPr="005D4C7A">
              <w:rPr>
                <w:b/>
                <w:lang w:val="sr-Latn-CS"/>
              </w:rPr>
              <w:t xml:space="preserve">7. </w:t>
            </w:r>
            <w:r w:rsidRPr="005D4C7A">
              <w:rPr>
                <w:b/>
                <w:bCs/>
                <w:lang w:val="sr-Latn-CS"/>
              </w:rPr>
              <w:t>Konsultacije (ko je konsultovan i kratki odgovori)</w:t>
            </w:r>
          </w:p>
          <w:p w:rsidR="008741E7" w:rsidRPr="005D4C7A" w:rsidRDefault="008741E7" w:rsidP="008741E7">
            <w:pPr>
              <w:shd w:val="clear" w:color="auto" w:fill="FFFFFF"/>
              <w:tabs>
                <w:tab w:val="left" w:pos="672"/>
              </w:tabs>
              <w:jc w:val="center"/>
              <w:rPr>
                <w:bCs/>
                <w:lang w:val="sr-Latn-CS"/>
              </w:rPr>
            </w:pPr>
          </w:p>
          <w:p w:rsidR="008741E7" w:rsidRPr="005D4C7A" w:rsidRDefault="008741E7" w:rsidP="00142FC6">
            <w:pPr>
              <w:suppressAutoHyphens/>
              <w:autoSpaceDE w:val="0"/>
              <w:jc w:val="both"/>
              <w:rPr>
                <w:lang w:val="sr-Latn-CS"/>
              </w:rPr>
            </w:pPr>
            <w:r w:rsidRPr="005D4C7A">
              <w:rPr>
                <w:bCs/>
                <w:lang w:val="sr-Latn-CS"/>
              </w:rPr>
              <w:t xml:space="preserve">Tokom procesa izrade nacrt zakona  održane su konsultacije sa stručnim osobljem i organizacione jedinice institucija i zvaničnika odgovornih za obavljanje zadataka i mandat u oblasti </w:t>
            </w:r>
            <w:r w:rsidRPr="005D4C7A">
              <w:rPr>
                <w:lang w:val="sr-Latn-CS"/>
              </w:rPr>
              <w:t>autorskih prava.</w:t>
            </w:r>
          </w:p>
          <w:p w:rsidR="008741E7" w:rsidRPr="005D4C7A" w:rsidRDefault="008741E7" w:rsidP="00142FC6">
            <w:pPr>
              <w:shd w:val="clear" w:color="auto" w:fill="FFFFFF"/>
              <w:tabs>
                <w:tab w:val="left" w:pos="672"/>
              </w:tabs>
              <w:jc w:val="both"/>
              <w:rPr>
                <w:bCs/>
                <w:lang w:val="sr-Latn-CS"/>
              </w:rPr>
            </w:pPr>
            <w:r w:rsidRPr="005D4C7A">
              <w:rPr>
                <w:bCs/>
                <w:lang w:val="sr-Latn-CS"/>
              </w:rPr>
              <w:t>Ovaj nacrt je upućen na javnu raspravu u drugim institucijama prema Listi konsultovane su ove institucije:</w:t>
            </w:r>
          </w:p>
          <w:p w:rsidR="00090EF9" w:rsidRDefault="00090EF9" w:rsidP="00602A19">
            <w:pPr>
              <w:shd w:val="clear" w:color="auto" w:fill="FFFFFF"/>
              <w:tabs>
                <w:tab w:val="left" w:pos="672"/>
              </w:tabs>
              <w:rPr>
                <w:bCs/>
                <w:lang w:val="sr-Latn-CS"/>
              </w:rPr>
            </w:pPr>
          </w:p>
          <w:p w:rsidR="00275BDF" w:rsidRDefault="00275BDF" w:rsidP="00602A19">
            <w:pPr>
              <w:shd w:val="clear" w:color="auto" w:fill="FFFFFF"/>
              <w:tabs>
                <w:tab w:val="left" w:pos="672"/>
              </w:tabs>
              <w:rPr>
                <w:bCs/>
                <w:lang w:val="sr-Latn-CS"/>
              </w:rPr>
            </w:pP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1.Ministarstvo Finansija (MF);</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 xml:space="preserve">2. Ministarstva za Evropske Integracije (MEI); </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3.Pravna Kancelarija Premijera (PKP);</w:t>
            </w:r>
          </w:p>
          <w:p w:rsidR="00090EF9" w:rsidRPr="00061AD2" w:rsidRDefault="00090EF9" w:rsidP="00602A19">
            <w:pPr>
              <w:shd w:val="clear" w:color="auto" w:fill="FFFFFF"/>
              <w:tabs>
                <w:tab w:val="left" w:pos="672"/>
              </w:tabs>
              <w:rPr>
                <w:bCs/>
                <w:color w:val="000000" w:themeColor="text1"/>
                <w:lang w:val="sr-Latn-CS"/>
              </w:rPr>
            </w:pP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4. Ministarstvo za Javnu Upravu (MJU);</w:t>
            </w:r>
          </w:p>
          <w:p w:rsidR="00090EF9" w:rsidRPr="00061AD2" w:rsidRDefault="00090EF9" w:rsidP="00602A19">
            <w:pPr>
              <w:shd w:val="clear" w:color="auto" w:fill="FFFFFF"/>
              <w:tabs>
                <w:tab w:val="left" w:pos="672"/>
              </w:tabs>
              <w:rPr>
                <w:bCs/>
                <w:color w:val="000000" w:themeColor="text1"/>
                <w:lang w:val="sr-Latn-CS"/>
              </w:rPr>
            </w:pP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5. Ministarstvo Unutrašnjih Poslova (MUP);</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 xml:space="preserve"> 6. Ministarstvo Životne Sredine i Prostornog Planiranja (MŽSPP);</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 xml:space="preserve">7. Ministarstvo Zdravlja (MZ); </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 xml:space="preserve">8. Ministarstvo Trgovine i Industrije (MTI); </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 xml:space="preserve">9.Ministarstva za Lokalnu Samoupravu (MLG); </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10.Ministarstvo za Ekonomski Razvoj (MER);</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11. Ministarstvo Poljoprivrede, Šumarstva i Ruralnog Razvoja (MPŠRR); 12. Ministarstvo za Infrastrukturu ( MI); 13. Ministarstvo Rada i Socijalne Zastite (MRSZ);</w:t>
            </w:r>
          </w:p>
          <w:p w:rsidR="00090EF9" w:rsidRPr="00061AD2" w:rsidRDefault="00090EF9" w:rsidP="00602A19">
            <w:pPr>
              <w:shd w:val="clear" w:color="auto" w:fill="FFFFFF"/>
              <w:tabs>
                <w:tab w:val="left" w:pos="672"/>
              </w:tabs>
              <w:rPr>
                <w:bCs/>
                <w:color w:val="000000" w:themeColor="text1"/>
                <w:lang w:val="sr-Latn-CS"/>
              </w:rPr>
            </w:pPr>
            <w:r w:rsidRPr="00061AD2">
              <w:rPr>
                <w:bCs/>
                <w:color w:val="000000" w:themeColor="text1"/>
                <w:lang w:val="sr-Latn-CS"/>
              </w:rPr>
              <w:t>14. Sekretarijat za koordinaciju (GCS).</w:t>
            </w:r>
          </w:p>
          <w:p w:rsidR="00090EF9" w:rsidRPr="00061AD2" w:rsidRDefault="00090EF9" w:rsidP="00602A19">
            <w:pPr>
              <w:shd w:val="clear" w:color="auto" w:fill="FFFFFF"/>
              <w:tabs>
                <w:tab w:val="left" w:pos="672"/>
              </w:tabs>
              <w:rPr>
                <w:bCs/>
                <w:color w:val="000000" w:themeColor="text1"/>
                <w:lang w:val="sr-Latn-CS"/>
              </w:rPr>
            </w:pPr>
          </w:p>
          <w:p w:rsidR="00090EF9" w:rsidRPr="00503F27" w:rsidRDefault="00090EF9" w:rsidP="00602A19">
            <w:pPr>
              <w:shd w:val="clear" w:color="auto" w:fill="FFFFFF"/>
              <w:tabs>
                <w:tab w:val="left" w:pos="672"/>
              </w:tabs>
              <w:rPr>
                <w:bCs/>
                <w:lang w:val="sr-Latn-CS"/>
              </w:rPr>
            </w:pPr>
          </w:p>
          <w:p w:rsidR="00061AD2" w:rsidRPr="005D4C7A" w:rsidRDefault="00061AD2" w:rsidP="00061AD2">
            <w:pPr>
              <w:shd w:val="clear" w:color="auto" w:fill="FFFFFF"/>
              <w:tabs>
                <w:tab w:val="left" w:pos="672"/>
              </w:tabs>
              <w:jc w:val="center"/>
              <w:rPr>
                <w:b/>
                <w:bCs/>
                <w:lang w:val="sr-Latn-CS"/>
              </w:rPr>
            </w:pPr>
            <w:r w:rsidRPr="005D4C7A">
              <w:rPr>
                <w:b/>
                <w:bCs/>
                <w:lang w:val="sr-Latn-CS"/>
              </w:rPr>
              <w:t>8. Način komuniciranja nove politike za javnost</w:t>
            </w:r>
          </w:p>
          <w:p w:rsidR="00061AD2" w:rsidRPr="005D4C7A" w:rsidRDefault="00061AD2" w:rsidP="00061AD2">
            <w:pPr>
              <w:shd w:val="clear" w:color="auto" w:fill="FFFFFF"/>
              <w:tabs>
                <w:tab w:val="left" w:pos="672"/>
              </w:tabs>
              <w:jc w:val="center"/>
              <w:rPr>
                <w:bCs/>
                <w:lang w:val="sr-Latn-CS"/>
              </w:rPr>
            </w:pPr>
          </w:p>
          <w:p w:rsidR="00061AD2" w:rsidRPr="005D4C7A" w:rsidRDefault="00061AD2" w:rsidP="00061AD2">
            <w:pPr>
              <w:shd w:val="clear" w:color="auto" w:fill="FFFFFF"/>
              <w:tabs>
                <w:tab w:val="left" w:pos="672"/>
              </w:tabs>
              <w:jc w:val="center"/>
              <w:rPr>
                <w:bCs/>
                <w:lang w:val="sr-Latn-CS"/>
              </w:rPr>
            </w:pPr>
            <w:r w:rsidRPr="005D4C7A">
              <w:rPr>
                <w:bCs/>
                <w:lang w:val="sr-Latn-CS"/>
              </w:rPr>
              <w:t>Nije primenljivo.</w:t>
            </w:r>
          </w:p>
          <w:p w:rsidR="00061AD2" w:rsidRPr="005D4C7A" w:rsidRDefault="00061AD2" w:rsidP="00061AD2">
            <w:pPr>
              <w:shd w:val="clear" w:color="auto" w:fill="FFFFFF"/>
              <w:tabs>
                <w:tab w:val="left" w:pos="672"/>
              </w:tabs>
              <w:jc w:val="center"/>
              <w:rPr>
                <w:b/>
                <w:bCs/>
                <w:lang w:val="sr-Latn-CS"/>
              </w:rPr>
            </w:pPr>
            <w:r w:rsidRPr="005D4C7A">
              <w:rPr>
                <w:b/>
                <w:bCs/>
                <w:lang w:val="sr-Latn-CS"/>
              </w:rPr>
              <w:t>9. Nacrt Odluke Vlade</w:t>
            </w:r>
          </w:p>
          <w:p w:rsidR="00061AD2" w:rsidRPr="005D4C7A" w:rsidRDefault="00061AD2" w:rsidP="00061AD2">
            <w:pPr>
              <w:shd w:val="clear" w:color="auto" w:fill="FFFFFF"/>
              <w:tabs>
                <w:tab w:val="left" w:pos="672"/>
              </w:tabs>
              <w:jc w:val="center"/>
              <w:rPr>
                <w:bCs/>
                <w:lang w:val="sr-Latn-CS"/>
              </w:rPr>
            </w:pPr>
          </w:p>
          <w:p w:rsidR="00061AD2" w:rsidRPr="005D4C7A" w:rsidRDefault="00061AD2" w:rsidP="00AF1A7C">
            <w:pPr>
              <w:shd w:val="clear" w:color="auto" w:fill="FFFFFF"/>
              <w:tabs>
                <w:tab w:val="left" w:pos="672"/>
              </w:tabs>
              <w:jc w:val="both"/>
              <w:rPr>
                <w:bCs/>
                <w:lang w:val="sr-Latn-CS"/>
              </w:rPr>
            </w:pPr>
            <w:r w:rsidRPr="005D4C7A">
              <w:rPr>
                <w:bCs/>
                <w:lang w:val="sr-Latn-CS"/>
              </w:rPr>
              <w:t xml:space="preserve">1. </w:t>
            </w:r>
            <w:r w:rsidRPr="005D4C7A">
              <w:rPr>
                <w:bCs/>
                <w:color w:val="000000"/>
                <w:lang w:val="sr-Latn-CS" w:eastAsia="ja-JP"/>
              </w:rPr>
              <w:t>Usvaja nacrt zakona o izmeni i dopuni Zakona br. 04 / L - 097 za Autorska prava</w:t>
            </w:r>
            <w:r w:rsidRPr="005D4C7A">
              <w:rPr>
                <w:bCs/>
                <w:lang w:val="sr-Latn-CS"/>
              </w:rPr>
              <w:t>.</w:t>
            </w:r>
          </w:p>
          <w:p w:rsidR="00061AD2" w:rsidRPr="005D4C7A" w:rsidRDefault="00061AD2" w:rsidP="00AF1A7C">
            <w:pPr>
              <w:shd w:val="clear" w:color="auto" w:fill="FFFFFF"/>
              <w:tabs>
                <w:tab w:val="left" w:pos="672"/>
              </w:tabs>
              <w:jc w:val="both"/>
              <w:rPr>
                <w:bCs/>
                <w:lang w:val="sr-Latn-CS"/>
              </w:rPr>
            </w:pPr>
          </w:p>
          <w:p w:rsidR="00061AD2" w:rsidRPr="005D4C7A" w:rsidRDefault="00061AD2" w:rsidP="00AF1A7C">
            <w:pPr>
              <w:autoSpaceDE w:val="0"/>
              <w:autoSpaceDN w:val="0"/>
              <w:adjustRightInd w:val="0"/>
              <w:jc w:val="both"/>
              <w:rPr>
                <w:bCs/>
                <w:lang w:val="en-GB"/>
              </w:rPr>
            </w:pPr>
            <w:r w:rsidRPr="005D4C7A">
              <w:rPr>
                <w:color w:val="000000"/>
                <w:lang w:val="en-GB" w:eastAsia="ja-JP"/>
              </w:rPr>
              <w:t xml:space="preserve">2.  </w:t>
            </w:r>
            <w:r w:rsidRPr="005D4C7A">
              <w:rPr>
                <w:bCs/>
                <w:lang w:val="sr-Latn-CS"/>
              </w:rPr>
              <w:t>Generalni Sekretar Ureda Premijera dužan je da nacrt zakona iz tačke 1. ove odluke prosledi za razmatranje  u Skupštini Republike Kosova</w:t>
            </w:r>
            <w:r w:rsidRPr="005D4C7A">
              <w:rPr>
                <w:bCs/>
                <w:lang w:val="en-GB"/>
              </w:rPr>
              <w:t>.</w:t>
            </w:r>
          </w:p>
          <w:p w:rsidR="00061AD2" w:rsidRDefault="00061AD2" w:rsidP="000322D5">
            <w:pPr>
              <w:shd w:val="clear" w:color="auto" w:fill="FFFFFF"/>
              <w:tabs>
                <w:tab w:val="left" w:pos="672"/>
              </w:tabs>
              <w:rPr>
                <w:bCs/>
                <w:lang w:val="en-GB"/>
              </w:rPr>
            </w:pPr>
          </w:p>
          <w:p w:rsidR="000322D5" w:rsidRDefault="000322D5" w:rsidP="000322D5">
            <w:pPr>
              <w:shd w:val="clear" w:color="auto" w:fill="FFFFFF"/>
              <w:tabs>
                <w:tab w:val="left" w:pos="672"/>
              </w:tabs>
              <w:rPr>
                <w:bCs/>
                <w:lang w:val="en-GB"/>
              </w:rPr>
            </w:pPr>
          </w:p>
          <w:p w:rsidR="000322D5" w:rsidRPr="005D4C7A" w:rsidRDefault="000322D5" w:rsidP="000322D5">
            <w:pPr>
              <w:shd w:val="clear" w:color="auto" w:fill="FFFFFF"/>
              <w:tabs>
                <w:tab w:val="left" w:pos="672"/>
              </w:tabs>
              <w:rPr>
                <w:bCs/>
                <w:lang w:val="en-GB"/>
              </w:rPr>
            </w:pPr>
          </w:p>
          <w:p w:rsidR="00061AD2" w:rsidRPr="005D4C7A" w:rsidRDefault="00061AD2" w:rsidP="000322D5">
            <w:pPr>
              <w:suppressAutoHyphens/>
              <w:autoSpaceDE w:val="0"/>
              <w:rPr>
                <w:b/>
                <w:bCs/>
              </w:rPr>
            </w:pPr>
            <w:r w:rsidRPr="005D4C7A">
              <w:rPr>
                <w:bCs/>
                <w:lang w:val="sr-Latn-CS"/>
              </w:rPr>
              <w:t>3. Odluka stupa na snagu na dan njenog potpisivanja.</w:t>
            </w:r>
          </w:p>
          <w:p w:rsidR="00090EF9" w:rsidRDefault="00090EF9" w:rsidP="000322D5">
            <w:pPr>
              <w:shd w:val="clear" w:color="auto" w:fill="FFFFFF"/>
              <w:tabs>
                <w:tab w:val="left" w:pos="672"/>
              </w:tabs>
              <w:rPr>
                <w:bCs/>
                <w:lang w:val="sr-Latn-CS"/>
              </w:rPr>
            </w:pPr>
          </w:p>
          <w:p w:rsidR="00090EF9" w:rsidRPr="00503F27" w:rsidRDefault="00090EF9" w:rsidP="00602A19">
            <w:pPr>
              <w:shd w:val="clear" w:color="auto" w:fill="FFFFFF"/>
              <w:tabs>
                <w:tab w:val="left" w:pos="672"/>
              </w:tabs>
              <w:rPr>
                <w:bCs/>
                <w:lang w:val="sr-Latn-CS"/>
              </w:rPr>
            </w:pPr>
          </w:p>
          <w:p w:rsidR="00090EF9" w:rsidRPr="00503F27" w:rsidRDefault="00090EF9" w:rsidP="00602A19">
            <w:pPr>
              <w:shd w:val="clear" w:color="auto" w:fill="FFFFFF"/>
              <w:tabs>
                <w:tab w:val="left" w:pos="672"/>
              </w:tabs>
              <w:rPr>
                <w:bCs/>
                <w:lang w:val="sr-Latn-CS"/>
              </w:rPr>
            </w:pPr>
          </w:p>
        </w:tc>
      </w:tr>
    </w:tbl>
    <w:p w:rsidR="00090EF9" w:rsidRPr="00503F27" w:rsidRDefault="00090EF9" w:rsidP="00090EF9">
      <w:pPr>
        <w:rPr>
          <w:bCs/>
        </w:rPr>
      </w:pPr>
    </w:p>
    <w:p w:rsidR="00090EF9" w:rsidRPr="00503F27" w:rsidRDefault="00090EF9" w:rsidP="00090EF9"/>
    <w:p w:rsidR="00FF4F3A" w:rsidRDefault="00FF4F3A"/>
    <w:sectPr w:rsidR="00FF4F3A" w:rsidSect="00090EF9">
      <w:footerReference w:type="default" r:id="rId7"/>
      <w:pgSz w:w="15840" w:h="12240" w:orient="landscape"/>
      <w:pgMar w:top="720" w:right="1440" w:bottom="158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87D" w:rsidRDefault="003C487D" w:rsidP="003F6DB1">
      <w:r>
        <w:separator/>
      </w:r>
    </w:p>
  </w:endnote>
  <w:endnote w:type="continuationSeparator" w:id="0">
    <w:p w:rsidR="003C487D" w:rsidRDefault="003C487D" w:rsidP="003F6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328" w:rsidRDefault="003C487D" w:rsidP="00883ADA">
    <w:pPr>
      <w:pStyle w:val="Footer"/>
      <w:framePr w:wrap="auto" w:vAnchor="text" w:hAnchor="margin" w:xAlign="center" w:y="1"/>
      <w:rPr>
        <w:rStyle w:val="PageNumber"/>
      </w:rPr>
    </w:pPr>
  </w:p>
  <w:p w:rsidR="00432328" w:rsidRDefault="003C487D" w:rsidP="00757E59">
    <w:pPr>
      <w:pStyle w:val="Footer"/>
      <w:ind w:right="360" w:firstLine="360"/>
    </w:pPr>
  </w:p>
  <w:p w:rsidR="00503F27" w:rsidRDefault="003C487D" w:rsidP="00757E59">
    <w:pPr>
      <w:pStyle w:val="Footer"/>
      <w:ind w:right="360" w:firstLine="360"/>
    </w:pPr>
  </w:p>
  <w:p w:rsidR="00503F27" w:rsidRDefault="003C487D" w:rsidP="00757E59">
    <w:pPr>
      <w:pStyle w:val="Footer"/>
      <w:ind w:right="360" w:firstLine="360"/>
    </w:pPr>
  </w:p>
  <w:p w:rsidR="00503F27" w:rsidRDefault="003C487D" w:rsidP="00757E5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87D" w:rsidRDefault="003C487D" w:rsidP="003F6DB1">
      <w:r>
        <w:separator/>
      </w:r>
    </w:p>
  </w:footnote>
  <w:footnote w:type="continuationSeparator" w:id="0">
    <w:p w:rsidR="003C487D" w:rsidRDefault="003C487D" w:rsidP="003F6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090EF9"/>
    <w:rsid w:val="000322D5"/>
    <w:rsid w:val="00061AD2"/>
    <w:rsid w:val="00090EF9"/>
    <w:rsid w:val="000A3EBB"/>
    <w:rsid w:val="00142FC6"/>
    <w:rsid w:val="00275BDF"/>
    <w:rsid w:val="0035064B"/>
    <w:rsid w:val="00355A5C"/>
    <w:rsid w:val="003C487D"/>
    <w:rsid w:val="003C6181"/>
    <w:rsid w:val="003F6DB1"/>
    <w:rsid w:val="005560E8"/>
    <w:rsid w:val="00722213"/>
    <w:rsid w:val="00732B37"/>
    <w:rsid w:val="008741E7"/>
    <w:rsid w:val="00A32988"/>
    <w:rsid w:val="00AF1A7C"/>
    <w:rsid w:val="00B7542D"/>
    <w:rsid w:val="00D3553D"/>
    <w:rsid w:val="00D374FE"/>
    <w:rsid w:val="00D4048F"/>
    <w:rsid w:val="00DB6E00"/>
    <w:rsid w:val="00F94ED8"/>
    <w:rsid w:val="00FF4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8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F9"/>
    <w:pPr>
      <w:spacing w:line="240" w:lineRule="auto"/>
      <w:ind w:left="0"/>
      <w:jc w:val="left"/>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0EF9"/>
    <w:pPr>
      <w:tabs>
        <w:tab w:val="center" w:pos="4535"/>
        <w:tab w:val="right" w:pos="9071"/>
      </w:tabs>
    </w:pPr>
  </w:style>
  <w:style w:type="character" w:customStyle="1" w:styleId="FooterChar">
    <w:name w:val="Footer Char"/>
    <w:basedOn w:val="DefaultParagraphFont"/>
    <w:link w:val="Footer"/>
    <w:uiPriority w:val="99"/>
    <w:rsid w:val="00090EF9"/>
    <w:rPr>
      <w:rFonts w:ascii="Times New Roman" w:eastAsia="Times New Roman" w:hAnsi="Times New Roman" w:cs="Times New Roman"/>
      <w:sz w:val="24"/>
      <w:szCs w:val="24"/>
      <w:lang w:val="sq-AL"/>
    </w:rPr>
  </w:style>
  <w:style w:type="character" w:styleId="PageNumber">
    <w:name w:val="page number"/>
    <w:basedOn w:val="DefaultParagraphFont"/>
    <w:uiPriority w:val="99"/>
    <w:rsid w:val="00090EF9"/>
  </w:style>
  <w:style w:type="paragraph" w:styleId="NormalWeb">
    <w:name w:val="Normal (Web)"/>
    <w:aliases w:val="Char Char"/>
    <w:basedOn w:val="Normal"/>
    <w:link w:val="NormalWebChar"/>
    <w:uiPriority w:val="99"/>
    <w:qFormat/>
    <w:rsid w:val="00090EF9"/>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aliases w:val="Char Char Char"/>
    <w:link w:val="NormalWeb"/>
    <w:uiPriority w:val="99"/>
    <w:rsid w:val="00090EF9"/>
    <w:rPr>
      <w:rFonts w:ascii="Arial Unicode MS" w:eastAsia="Arial Unicode MS" w:hAnsi="Arial Unicode MS" w:cs="Arial Unicode MS"/>
      <w:sz w:val="24"/>
      <w:szCs w:val="24"/>
      <w:lang w:val="sq-AL"/>
    </w:rPr>
  </w:style>
  <w:style w:type="paragraph" w:styleId="BalloonText">
    <w:name w:val="Balloon Text"/>
    <w:basedOn w:val="Normal"/>
    <w:link w:val="BalloonTextChar"/>
    <w:uiPriority w:val="99"/>
    <w:semiHidden/>
    <w:unhideWhenUsed/>
    <w:rsid w:val="00090EF9"/>
    <w:rPr>
      <w:rFonts w:ascii="Tahoma" w:hAnsi="Tahoma" w:cs="Tahoma"/>
      <w:sz w:val="16"/>
      <w:szCs w:val="16"/>
    </w:rPr>
  </w:style>
  <w:style w:type="character" w:customStyle="1" w:styleId="BalloonTextChar">
    <w:name w:val="Balloon Text Char"/>
    <w:basedOn w:val="DefaultParagraphFont"/>
    <w:link w:val="BalloonText"/>
    <w:uiPriority w:val="99"/>
    <w:semiHidden/>
    <w:rsid w:val="00090EF9"/>
    <w:rPr>
      <w:rFonts w:ascii="Tahoma" w:eastAsia="Times New Roman" w:hAnsi="Tahoma" w:cs="Tahoma"/>
      <w:sz w:val="16"/>
      <w:szCs w:val="16"/>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hava.makolli</dc:creator>
  <cp:lastModifiedBy>hava.makolli</cp:lastModifiedBy>
  <cp:revision>7</cp:revision>
  <cp:lastPrinted>2018-06-22T12:21:00Z</cp:lastPrinted>
  <dcterms:created xsi:type="dcterms:W3CDTF">2018-06-18T09:00:00Z</dcterms:created>
  <dcterms:modified xsi:type="dcterms:W3CDTF">2018-06-22T12:23:00Z</dcterms:modified>
</cp:coreProperties>
</file>